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685FD" w14:textId="0B9E5DB3" w:rsidR="00EB4D00" w:rsidRPr="00726D2A" w:rsidRDefault="007C1F03" w:rsidP="00726D2A">
      <w:pPr>
        <w:spacing w:line="240" w:lineRule="auto"/>
        <w:jc w:val="both"/>
        <w:rPr>
          <w:b/>
          <w:sz w:val="28"/>
          <w:szCs w:val="28"/>
          <w:u w:val="single"/>
        </w:rPr>
      </w:pPr>
      <w:r w:rsidRPr="00726D2A">
        <w:rPr>
          <w:b/>
          <w:i/>
          <w:sz w:val="28"/>
          <w:szCs w:val="28"/>
          <w:u w:val="single"/>
        </w:rPr>
        <w:t>Topná sezóna – požární bezpečnost při užívání tepelných spotřebičů a komínů</w:t>
      </w:r>
    </w:p>
    <w:p w14:paraId="1912B916" w14:textId="6286145E" w:rsidR="000D7B49" w:rsidRDefault="000D7B49" w:rsidP="00726D2A">
      <w:pPr>
        <w:spacing w:line="240" w:lineRule="auto"/>
        <w:jc w:val="both"/>
        <w:rPr>
          <w:sz w:val="24"/>
          <w:szCs w:val="24"/>
        </w:rPr>
      </w:pPr>
      <w:r w:rsidRPr="000D7B49">
        <w:rPr>
          <w:sz w:val="24"/>
          <w:szCs w:val="24"/>
        </w:rPr>
        <w:t xml:space="preserve">Česká asociace hasičských důstojníků </w:t>
      </w:r>
      <w:r>
        <w:rPr>
          <w:sz w:val="24"/>
          <w:szCs w:val="24"/>
        </w:rPr>
        <w:t>i v roce 202</w:t>
      </w:r>
      <w:r w:rsidR="00340C8D">
        <w:rPr>
          <w:sz w:val="24"/>
          <w:szCs w:val="24"/>
        </w:rPr>
        <w:t>3</w:t>
      </w:r>
      <w:r>
        <w:rPr>
          <w:sz w:val="24"/>
          <w:szCs w:val="24"/>
        </w:rPr>
        <w:t xml:space="preserve"> </w:t>
      </w:r>
      <w:r w:rsidRPr="000D7B49">
        <w:rPr>
          <w:sz w:val="24"/>
          <w:szCs w:val="24"/>
        </w:rPr>
        <w:t>vyhlašuje Den požární bezpečnosti, který</w:t>
      </w:r>
      <w:r>
        <w:rPr>
          <w:sz w:val="24"/>
          <w:szCs w:val="24"/>
        </w:rPr>
        <w:t xml:space="preserve">m je každoročně vybraný pátek 13. </w:t>
      </w:r>
      <w:r w:rsidRPr="000D7B49">
        <w:rPr>
          <w:sz w:val="24"/>
          <w:szCs w:val="24"/>
        </w:rPr>
        <w:t xml:space="preserve">V letošním roce připadne tento den na pátek 13. </w:t>
      </w:r>
      <w:r w:rsidR="007A5A1B">
        <w:rPr>
          <w:sz w:val="24"/>
          <w:szCs w:val="24"/>
        </w:rPr>
        <w:t>října</w:t>
      </w:r>
      <w:r w:rsidRPr="000D7B49">
        <w:rPr>
          <w:sz w:val="24"/>
          <w:szCs w:val="24"/>
        </w:rPr>
        <w:t xml:space="preserve">. Dlouhodobým cílem je snaha „zlomit“ pověru o nešťastném pátku třináctého. Hasiči v Pátek 13. tradičně ukazují svou připravenost na mimořádné události, propagují požární ochranu a preventivně působí na veřejnost. Je to den, kdy se veřejnosti otevírají hasičské stanice, a pořádá se řada akcí pro děti. </w:t>
      </w:r>
    </w:p>
    <w:p w14:paraId="619EF8A6" w14:textId="7E2B31B9" w:rsidR="00117D28" w:rsidRPr="00EA0D57" w:rsidRDefault="00087FC9" w:rsidP="00726D2A">
      <w:pPr>
        <w:spacing w:line="240" w:lineRule="auto"/>
        <w:jc w:val="both"/>
        <w:rPr>
          <w:sz w:val="24"/>
          <w:szCs w:val="24"/>
        </w:rPr>
      </w:pPr>
      <w:r>
        <w:rPr>
          <w:sz w:val="24"/>
          <w:szCs w:val="24"/>
        </w:rPr>
        <w:t>Každoročně je v rámci D</w:t>
      </w:r>
      <w:r w:rsidR="00EB4D00" w:rsidRPr="00EA0D57">
        <w:rPr>
          <w:sz w:val="24"/>
          <w:szCs w:val="24"/>
        </w:rPr>
        <w:t>ne požární bezpečnost</w:t>
      </w:r>
      <w:r w:rsidR="000C5620">
        <w:rPr>
          <w:sz w:val="24"/>
          <w:szCs w:val="24"/>
        </w:rPr>
        <w:t xml:space="preserve">i řešena konkrétní problematika. </w:t>
      </w:r>
      <w:r w:rsidR="003A5C2D">
        <w:rPr>
          <w:sz w:val="24"/>
          <w:szCs w:val="24"/>
        </w:rPr>
        <w:t xml:space="preserve">Pro letošní rok bylo zvoleno téma, které koresponduje s říjnovým termínem, a to: </w:t>
      </w:r>
      <w:r w:rsidR="003A5C2D" w:rsidRPr="00450103">
        <w:rPr>
          <w:i/>
          <w:sz w:val="24"/>
          <w:szCs w:val="24"/>
        </w:rPr>
        <w:t xml:space="preserve">Topná sezóna – požární bezpečnost při užívání tepelných </w:t>
      </w:r>
      <w:r w:rsidR="00450103">
        <w:rPr>
          <w:i/>
          <w:sz w:val="24"/>
          <w:szCs w:val="24"/>
        </w:rPr>
        <w:t>spotřebičů</w:t>
      </w:r>
      <w:r w:rsidR="003A5C2D" w:rsidRPr="00450103">
        <w:rPr>
          <w:i/>
          <w:sz w:val="24"/>
          <w:szCs w:val="24"/>
        </w:rPr>
        <w:t xml:space="preserve"> a komínů</w:t>
      </w:r>
      <w:r w:rsidR="003A5C2D">
        <w:rPr>
          <w:sz w:val="24"/>
          <w:szCs w:val="24"/>
        </w:rPr>
        <w:t xml:space="preserve">. </w:t>
      </w:r>
    </w:p>
    <w:p w14:paraId="01225898" w14:textId="627C8119" w:rsidR="00631A44" w:rsidRDefault="000D051F" w:rsidP="00726D2A">
      <w:pPr>
        <w:spacing w:line="240" w:lineRule="auto"/>
        <w:jc w:val="both"/>
        <w:rPr>
          <w:sz w:val="24"/>
          <w:szCs w:val="24"/>
        </w:rPr>
      </w:pPr>
      <w:r>
        <w:rPr>
          <w:sz w:val="24"/>
          <w:szCs w:val="24"/>
        </w:rPr>
        <w:t xml:space="preserve">Požární bezpečnost tepelných spotřebičů nebo komínů by měla být v podzimním období jednou z priorit. Nepodceněná příprava na topnou sezónu může ušetřit spoustu starostí způsobených nejen nefunkčními spotřebiči nebo komíny, ale rovněž ochránit zdraví a bezpečí naše, našich blízkých nebo náš majetek. Provozování tepelných spotřebičů na jednu stranu přináší zvýšený tepelný komfort ve vlastním obydlí nebo nezávislost na dálkových dodávkách tepla, na druhou stranu vyžaduje individuální přístup a velkou míru zodpovědnosti. </w:t>
      </w:r>
    </w:p>
    <w:p w14:paraId="7B7DDA70" w14:textId="30310136" w:rsidR="00631A44" w:rsidRDefault="00631A44" w:rsidP="00726D2A">
      <w:pPr>
        <w:spacing w:line="240" w:lineRule="auto"/>
        <w:jc w:val="both"/>
        <w:rPr>
          <w:sz w:val="24"/>
          <w:szCs w:val="24"/>
        </w:rPr>
      </w:pPr>
      <w:r>
        <w:rPr>
          <w:sz w:val="24"/>
          <w:szCs w:val="24"/>
        </w:rPr>
        <w:t>Ze statistik HZS ČR vyplývá, že ročně dojde cca ke 125 požárům způsobených t</w:t>
      </w:r>
      <w:r w:rsidR="00AE262F">
        <w:rPr>
          <w:sz w:val="24"/>
          <w:szCs w:val="24"/>
        </w:rPr>
        <w:t>opidly</w:t>
      </w:r>
      <w:r>
        <w:rPr>
          <w:sz w:val="24"/>
          <w:szCs w:val="24"/>
        </w:rPr>
        <w:t xml:space="preserve"> a </w:t>
      </w:r>
      <w:r w:rsidR="0001068C">
        <w:rPr>
          <w:sz w:val="24"/>
          <w:szCs w:val="24"/>
        </w:rPr>
        <w:t xml:space="preserve">cca </w:t>
      </w:r>
      <w:r>
        <w:rPr>
          <w:sz w:val="24"/>
          <w:szCs w:val="24"/>
        </w:rPr>
        <w:t>13</w:t>
      </w:r>
      <w:r w:rsidR="0001068C">
        <w:rPr>
          <w:sz w:val="24"/>
          <w:szCs w:val="24"/>
        </w:rPr>
        <w:t>00</w:t>
      </w:r>
      <w:r>
        <w:rPr>
          <w:sz w:val="24"/>
          <w:szCs w:val="24"/>
        </w:rPr>
        <w:t xml:space="preserve"> požárům komínů. Následky takových požárů mohou být různé. U těch šťastnějších skončí pouze materiálními škodami, u těch méně šťastných i zraněním nebo dokonce úmrtím. Za poslední 3 roky eviduje HZS ČR v souvislosti s požáry způsobenými užíváním </w:t>
      </w:r>
      <w:r w:rsidR="00C01464">
        <w:rPr>
          <w:sz w:val="24"/>
          <w:szCs w:val="24"/>
        </w:rPr>
        <w:t>topidel</w:t>
      </w:r>
      <w:r>
        <w:rPr>
          <w:sz w:val="24"/>
          <w:szCs w:val="24"/>
        </w:rPr>
        <w:t xml:space="preserve"> nebo komínů celkem 9 usmrcených osob, 104 zraněných osob a přímé škody za 303,5 mil. Kč. Udržovat tepelné spotřebiče a komíny funkční a provozuschopné se tedy jistě vyplatí. </w:t>
      </w:r>
    </w:p>
    <w:p w14:paraId="2BB3163D" w14:textId="77777777" w:rsidR="00C01464" w:rsidRDefault="00C01464" w:rsidP="00726D2A">
      <w:pPr>
        <w:spacing w:line="240" w:lineRule="auto"/>
        <w:jc w:val="both"/>
        <w:rPr>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5"/>
      </w:tblGrid>
      <w:tr w:rsidR="00C01464" w14:paraId="42C0231F" w14:textId="77777777" w:rsidTr="00C01464">
        <w:tc>
          <w:tcPr>
            <w:tcW w:w="4536" w:type="dxa"/>
          </w:tcPr>
          <w:tbl>
            <w:tblPr>
              <w:tblW w:w="4041" w:type="dxa"/>
              <w:tblCellMar>
                <w:left w:w="70" w:type="dxa"/>
                <w:right w:w="70" w:type="dxa"/>
              </w:tblCellMar>
              <w:tblLook w:val="04A0" w:firstRow="1" w:lastRow="0" w:firstColumn="1" w:lastColumn="0" w:noHBand="0" w:noVBand="1"/>
            </w:tblPr>
            <w:tblGrid>
              <w:gridCol w:w="1297"/>
              <w:gridCol w:w="994"/>
              <w:gridCol w:w="855"/>
              <w:gridCol w:w="895"/>
            </w:tblGrid>
            <w:tr w:rsidR="007C1F03" w:rsidRPr="007C1F03" w14:paraId="736FBF55" w14:textId="77777777" w:rsidTr="00163492">
              <w:trPr>
                <w:trHeight w:val="300"/>
              </w:trPr>
              <w:tc>
                <w:tcPr>
                  <w:tcW w:w="1297" w:type="dxa"/>
                  <w:vMerge w:val="restart"/>
                  <w:tcBorders>
                    <w:top w:val="single" w:sz="8" w:space="0" w:color="auto"/>
                    <w:left w:val="single" w:sz="8" w:space="0" w:color="auto"/>
                    <w:bottom w:val="single" w:sz="4" w:space="0" w:color="000000"/>
                    <w:right w:val="single" w:sz="4" w:space="0" w:color="auto"/>
                  </w:tcBorders>
                  <w:shd w:val="clear" w:color="auto" w:fill="FFFFFF" w:themeFill="background1"/>
                  <w:noWrap/>
                  <w:vAlign w:val="bottom"/>
                  <w:hideMark/>
                </w:tcPr>
                <w:p w14:paraId="26152B17"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 </w:t>
                  </w:r>
                </w:p>
              </w:tc>
              <w:tc>
                <w:tcPr>
                  <w:tcW w:w="2744" w:type="dxa"/>
                  <w:gridSpan w:val="3"/>
                  <w:tcBorders>
                    <w:top w:val="single" w:sz="8" w:space="0" w:color="auto"/>
                    <w:left w:val="nil"/>
                    <w:bottom w:val="single" w:sz="4" w:space="0" w:color="auto"/>
                    <w:right w:val="single" w:sz="8" w:space="0" w:color="000000"/>
                  </w:tcBorders>
                  <w:shd w:val="clear" w:color="auto" w:fill="000000" w:themeFill="text1"/>
                  <w:noWrap/>
                  <w:vAlign w:val="bottom"/>
                  <w:hideMark/>
                </w:tcPr>
                <w:p w14:paraId="1522CF19" w14:textId="77777777" w:rsidR="00C01464" w:rsidRPr="00163492" w:rsidRDefault="00C01464" w:rsidP="00726D2A">
                  <w:pPr>
                    <w:spacing w:after="0" w:line="240" w:lineRule="auto"/>
                    <w:jc w:val="center"/>
                    <w:rPr>
                      <w:rFonts w:eastAsia="Times New Roman" w:cstheme="minorHAnsi"/>
                      <w:b/>
                      <w:bCs/>
                      <w:color w:val="FFFFFF" w:themeColor="background1"/>
                      <w:sz w:val="20"/>
                      <w:szCs w:val="20"/>
                      <w:lang w:eastAsia="cs-CZ"/>
                    </w:rPr>
                  </w:pPr>
                  <w:r w:rsidRPr="00163492">
                    <w:rPr>
                      <w:rFonts w:eastAsia="Times New Roman" w:cstheme="minorHAnsi"/>
                      <w:b/>
                      <w:bCs/>
                      <w:color w:val="FFFFFF" w:themeColor="background1"/>
                      <w:sz w:val="20"/>
                      <w:szCs w:val="20"/>
                      <w:shd w:val="clear" w:color="auto" w:fill="000000" w:themeFill="text1"/>
                      <w:lang w:eastAsia="cs-CZ"/>
                    </w:rPr>
                    <w:t>Topidla</w:t>
                  </w:r>
                  <w:r w:rsidRPr="00163492">
                    <w:rPr>
                      <w:rFonts w:eastAsia="Times New Roman" w:cstheme="minorHAnsi"/>
                      <w:b/>
                      <w:bCs/>
                      <w:color w:val="FFFFFF" w:themeColor="background1"/>
                      <w:sz w:val="20"/>
                      <w:szCs w:val="20"/>
                      <w:lang w:eastAsia="cs-CZ"/>
                    </w:rPr>
                    <w:t xml:space="preserve"> </w:t>
                  </w:r>
                </w:p>
              </w:tc>
            </w:tr>
            <w:tr w:rsidR="007C1F03" w:rsidRPr="007C1F03" w14:paraId="5F81C69C" w14:textId="77777777" w:rsidTr="00163492">
              <w:trPr>
                <w:trHeight w:val="300"/>
              </w:trPr>
              <w:tc>
                <w:tcPr>
                  <w:tcW w:w="1297" w:type="dxa"/>
                  <w:vMerge/>
                  <w:tcBorders>
                    <w:top w:val="single" w:sz="8" w:space="0" w:color="auto"/>
                    <w:left w:val="single" w:sz="8" w:space="0" w:color="auto"/>
                    <w:bottom w:val="single" w:sz="4" w:space="0" w:color="000000"/>
                    <w:right w:val="single" w:sz="4" w:space="0" w:color="auto"/>
                  </w:tcBorders>
                  <w:shd w:val="clear" w:color="auto" w:fill="FFFFFF" w:themeFill="background1"/>
                  <w:vAlign w:val="center"/>
                  <w:hideMark/>
                </w:tcPr>
                <w:p w14:paraId="210C0423" w14:textId="77777777" w:rsidR="00C01464" w:rsidRPr="00C01464" w:rsidRDefault="00C01464" w:rsidP="00726D2A">
                  <w:pPr>
                    <w:spacing w:after="0" w:line="240" w:lineRule="auto"/>
                    <w:rPr>
                      <w:rFonts w:eastAsia="Times New Roman" w:cstheme="minorHAnsi"/>
                      <w:b/>
                      <w:bCs/>
                      <w:color w:val="000000"/>
                      <w:sz w:val="20"/>
                      <w:szCs w:val="20"/>
                      <w:lang w:eastAsia="cs-CZ"/>
                    </w:rPr>
                  </w:pPr>
                </w:p>
              </w:tc>
              <w:tc>
                <w:tcPr>
                  <w:tcW w:w="994" w:type="dxa"/>
                  <w:tcBorders>
                    <w:top w:val="nil"/>
                    <w:left w:val="nil"/>
                    <w:bottom w:val="single" w:sz="4" w:space="0" w:color="auto"/>
                    <w:right w:val="single" w:sz="4" w:space="0" w:color="auto"/>
                  </w:tcBorders>
                  <w:shd w:val="clear" w:color="auto" w:fill="auto"/>
                  <w:noWrap/>
                  <w:vAlign w:val="bottom"/>
                  <w:hideMark/>
                </w:tcPr>
                <w:p w14:paraId="650767B0"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2020</w:t>
                  </w:r>
                </w:p>
              </w:tc>
              <w:tc>
                <w:tcPr>
                  <w:tcW w:w="855" w:type="dxa"/>
                  <w:tcBorders>
                    <w:top w:val="nil"/>
                    <w:left w:val="nil"/>
                    <w:bottom w:val="single" w:sz="4" w:space="0" w:color="auto"/>
                    <w:right w:val="single" w:sz="4" w:space="0" w:color="auto"/>
                  </w:tcBorders>
                  <w:shd w:val="clear" w:color="auto" w:fill="auto"/>
                  <w:noWrap/>
                  <w:vAlign w:val="bottom"/>
                  <w:hideMark/>
                </w:tcPr>
                <w:p w14:paraId="6821B4E2"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2021</w:t>
                  </w:r>
                </w:p>
              </w:tc>
              <w:tc>
                <w:tcPr>
                  <w:tcW w:w="895" w:type="dxa"/>
                  <w:tcBorders>
                    <w:top w:val="nil"/>
                    <w:left w:val="nil"/>
                    <w:bottom w:val="single" w:sz="4" w:space="0" w:color="auto"/>
                    <w:right w:val="single" w:sz="8" w:space="0" w:color="auto"/>
                  </w:tcBorders>
                  <w:shd w:val="clear" w:color="auto" w:fill="auto"/>
                  <w:noWrap/>
                  <w:vAlign w:val="bottom"/>
                  <w:hideMark/>
                </w:tcPr>
                <w:p w14:paraId="70253C28"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2022</w:t>
                  </w:r>
                </w:p>
              </w:tc>
            </w:tr>
            <w:tr w:rsidR="007C1F03" w:rsidRPr="007C1F03" w14:paraId="13365533" w14:textId="77777777" w:rsidTr="007C1F03">
              <w:trPr>
                <w:trHeight w:val="300"/>
              </w:trPr>
              <w:tc>
                <w:tcPr>
                  <w:tcW w:w="1297" w:type="dxa"/>
                  <w:tcBorders>
                    <w:top w:val="nil"/>
                    <w:left w:val="single" w:sz="8" w:space="0" w:color="auto"/>
                    <w:bottom w:val="single" w:sz="4" w:space="0" w:color="auto"/>
                    <w:right w:val="single" w:sz="4" w:space="0" w:color="auto"/>
                  </w:tcBorders>
                  <w:shd w:val="clear" w:color="auto" w:fill="auto"/>
                  <w:noWrap/>
                  <w:vAlign w:val="bottom"/>
                  <w:hideMark/>
                </w:tcPr>
                <w:p w14:paraId="10AD4716"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Počet požárů</w:t>
                  </w:r>
                </w:p>
              </w:tc>
              <w:tc>
                <w:tcPr>
                  <w:tcW w:w="994" w:type="dxa"/>
                  <w:tcBorders>
                    <w:top w:val="nil"/>
                    <w:left w:val="nil"/>
                    <w:bottom w:val="single" w:sz="4" w:space="0" w:color="auto"/>
                    <w:right w:val="single" w:sz="4" w:space="0" w:color="auto"/>
                  </w:tcBorders>
                  <w:shd w:val="clear" w:color="auto" w:fill="auto"/>
                  <w:noWrap/>
                  <w:vAlign w:val="bottom"/>
                  <w:hideMark/>
                </w:tcPr>
                <w:p w14:paraId="628CC67F"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109</w:t>
                  </w:r>
                </w:p>
              </w:tc>
              <w:tc>
                <w:tcPr>
                  <w:tcW w:w="855" w:type="dxa"/>
                  <w:tcBorders>
                    <w:top w:val="nil"/>
                    <w:left w:val="nil"/>
                    <w:bottom w:val="single" w:sz="4" w:space="0" w:color="auto"/>
                    <w:right w:val="single" w:sz="4" w:space="0" w:color="auto"/>
                  </w:tcBorders>
                  <w:shd w:val="clear" w:color="auto" w:fill="auto"/>
                  <w:noWrap/>
                  <w:vAlign w:val="bottom"/>
                  <w:hideMark/>
                </w:tcPr>
                <w:p w14:paraId="4DA7D61F"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136</w:t>
                  </w:r>
                </w:p>
              </w:tc>
              <w:tc>
                <w:tcPr>
                  <w:tcW w:w="895" w:type="dxa"/>
                  <w:tcBorders>
                    <w:top w:val="nil"/>
                    <w:left w:val="nil"/>
                    <w:bottom w:val="single" w:sz="4" w:space="0" w:color="auto"/>
                    <w:right w:val="single" w:sz="8" w:space="0" w:color="auto"/>
                  </w:tcBorders>
                  <w:shd w:val="clear" w:color="auto" w:fill="auto"/>
                  <w:noWrap/>
                  <w:vAlign w:val="bottom"/>
                  <w:hideMark/>
                </w:tcPr>
                <w:p w14:paraId="3ACE30E3"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128</w:t>
                  </w:r>
                </w:p>
              </w:tc>
            </w:tr>
            <w:tr w:rsidR="007C1F03" w:rsidRPr="007C1F03" w14:paraId="13E7C69C" w14:textId="77777777" w:rsidTr="00163492">
              <w:trPr>
                <w:trHeight w:val="300"/>
              </w:trPr>
              <w:tc>
                <w:tcPr>
                  <w:tcW w:w="1297"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266F4C1D"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Přímá škoda (tis. Kč)</w:t>
                  </w:r>
                </w:p>
              </w:tc>
              <w:tc>
                <w:tcPr>
                  <w:tcW w:w="994" w:type="dxa"/>
                  <w:tcBorders>
                    <w:top w:val="nil"/>
                    <w:left w:val="nil"/>
                    <w:bottom w:val="single" w:sz="4" w:space="0" w:color="auto"/>
                    <w:right w:val="single" w:sz="4" w:space="0" w:color="auto"/>
                  </w:tcBorders>
                  <w:shd w:val="clear" w:color="auto" w:fill="F2F2F2" w:themeFill="background1" w:themeFillShade="F2"/>
                  <w:noWrap/>
                  <w:vAlign w:val="bottom"/>
                  <w:hideMark/>
                </w:tcPr>
                <w:p w14:paraId="16C7AC0F" w14:textId="7AD2315F"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45</w:t>
                  </w:r>
                  <w:r w:rsidR="007C1F03">
                    <w:rPr>
                      <w:rFonts w:eastAsia="Times New Roman" w:cstheme="minorHAnsi"/>
                      <w:color w:val="000000"/>
                      <w:sz w:val="20"/>
                      <w:szCs w:val="20"/>
                      <w:lang w:eastAsia="cs-CZ"/>
                    </w:rPr>
                    <w:t xml:space="preserve"> </w:t>
                  </w:r>
                  <w:r w:rsidRPr="00C01464">
                    <w:rPr>
                      <w:rFonts w:eastAsia="Times New Roman" w:cstheme="minorHAnsi"/>
                      <w:color w:val="000000"/>
                      <w:sz w:val="20"/>
                      <w:szCs w:val="20"/>
                      <w:lang w:eastAsia="cs-CZ"/>
                    </w:rPr>
                    <w:t>768.0</w:t>
                  </w:r>
                </w:p>
              </w:tc>
              <w:tc>
                <w:tcPr>
                  <w:tcW w:w="855" w:type="dxa"/>
                  <w:tcBorders>
                    <w:top w:val="nil"/>
                    <w:left w:val="nil"/>
                    <w:bottom w:val="single" w:sz="4" w:space="0" w:color="auto"/>
                    <w:right w:val="single" w:sz="4" w:space="0" w:color="auto"/>
                  </w:tcBorders>
                  <w:shd w:val="clear" w:color="auto" w:fill="F2F2F2" w:themeFill="background1" w:themeFillShade="F2"/>
                  <w:noWrap/>
                  <w:vAlign w:val="bottom"/>
                  <w:hideMark/>
                </w:tcPr>
                <w:p w14:paraId="052085C8" w14:textId="6CBD0943"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25</w:t>
                  </w:r>
                  <w:r w:rsidR="007C1F03">
                    <w:rPr>
                      <w:rFonts w:eastAsia="Times New Roman" w:cstheme="minorHAnsi"/>
                      <w:color w:val="000000"/>
                      <w:sz w:val="20"/>
                      <w:szCs w:val="20"/>
                      <w:lang w:eastAsia="cs-CZ"/>
                    </w:rPr>
                    <w:t xml:space="preserve"> </w:t>
                  </w:r>
                  <w:r w:rsidRPr="00C01464">
                    <w:rPr>
                      <w:rFonts w:eastAsia="Times New Roman" w:cstheme="minorHAnsi"/>
                      <w:color w:val="000000"/>
                      <w:sz w:val="20"/>
                      <w:szCs w:val="20"/>
                      <w:lang w:eastAsia="cs-CZ"/>
                    </w:rPr>
                    <w:t>225.9</w:t>
                  </w:r>
                </w:p>
              </w:tc>
              <w:tc>
                <w:tcPr>
                  <w:tcW w:w="895" w:type="dxa"/>
                  <w:tcBorders>
                    <w:top w:val="nil"/>
                    <w:left w:val="nil"/>
                    <w:bottom w:val="single" w:sz="4" w:space="0" w:color="auto"/>
                    <w:right w:val="single" w:sz="8" w:space="0" w:color="auto"/>
                  </w:tcBorders>
                  <w:shd w:val="clear" w:color="auto" w:fill="F2F2F2" w:themeFill="background1" w:themeFillShade="F2"/>
                  <w:noWrap/>
                  <w:vAlign w:val="bottom"/>
                  <w:hideMark/>
                </w:tcPr>
                <w:p w14:paraId="4BB90453" w14:textId="3DCEE2A2"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50</w:t>
                  </w:r>
                  <w:r w:rsidR="00236480">
                    <w:rPr>
                      <w:rFonts w:eastAsia="Times New Roman" w:cstheme="minorHAnsi"/>
                      <w:color w:val="000000"/>
                      <w:sz w:val="20"/>
                      <w:szCs w:val="20"/>
                      <w:lang w:eastAsia="cs-CZ"/>
                    </w:rPr>
                    <w:t xml:space="preserve"> </w:t>
                  </w:r>
                  <w:r w:rsidRPr="00C01464">
                    <w:rPr>
                      <w:rFonts w:eastAsia="Times New Roman" w:cstheme="minorHAnsi"/>
                      <w:color w:val="000000"/>
                      <w:sz w:val="20"/>
                      <w:szCs w:val="20"/>
                      <w:lang w:eastAsia="cs-CZ"/>
                    </w:rPr>
                    <w:t>874.0</w:t>
                  </w:r>
                </w:p>
              </w:tc>
            </w:tr>
            <w:tr w:rsidR="007C1F03" w:rsidRPr="007C1F03" w14:paraId="21016F65" w14:textId="77777777" w:rsidTr="00163492">
              <w:trPr>
                <w:trHeight w:val="300"/>
              </w:trPr>
              <w:tc>
                <w:tcPr>
                  <w:tcW w:w="1297"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3DBB1C13"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Zraněných osob</w:t>
                  </w:r>
                </w:p>
              </w:tc>
              <w:tc>
                <w:tcPr>
                  <w:tcW w:w="994" w:type="dxa"/>
                  <w:tcBorders>
                    <w:top w:val="nil"/>
                    <w:left w:val="nil"/>
                    <w:bottom w:val="single" w:sz="4" w:space="0" w:color="auto"/>
                    <w:right w:val="single" w:sz="4" w:space="0" w:color="auto"/>
                  </w:tcBorders>
                  <w:shd w:val="clear" w:color="auto" w:fill="F2F2F2" w:themeFill="background1" w:themeFillShade="F2"/>
                  <w:noWrap/>
                  <w:vAlign w:val="bottom"/>
                  <w:hideMark/>
                </w:tcPr>
                <w:p w14:paraId="4E30D0BB"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8</w:t>
                  </w:r>
                </w:p>
              </w:tc>
              <w:tc>
                <w:tcPr>
                  <w:tcW w:w="855" w:type="dxa"/>
                  <w:tcBorders>
                    <w:top w:val="nil"/>
                    <w:left w:val="nil"/>
                    <w:bottom w:val="single" w:sz="4" w:space="0" w:color="auto"/>
                    <w:right w:val="single" w:sz="4" w:space="0" w:color="auto"/>
                  </w:tcBorders>
                  <w:shd w:val="clear" w:color="auto" w:fill="F2F2F2" w:themeFill="background1" w:themeFillShade="F2"/>
                  <w:noWrap/>
                  <w:vAlign w:val="bottom"/>
                  <w:hideMark/>
                </w:tcPr>
                <w:p w14:paraId="41C468E1"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12</w:t>
                  </w:r>
                </w:p>
              </w:tc>
              <w:tc>
                <w:tcPr>
                  <w:tcW w:w="895" w:type="dxa"/>
                  <w:tcBorders>
                    <w:top w:val="nil"/>
                    <w:left w:val="nil"/>
                    <w:bottom w:val="single" w:sz="4" w:space="0" w:color="auto"/>
                    <w:right w:val="single" w:sz="8" w:space="0" w:color="auto"/>
                  </w:tcBorders>
                  <w:shd w:val="clear" w:color="auto" w:fill="F2F2F2" w:themeFill="background1" w:themeFillShade="F2"/>
                  <w:noWrap/>
                  <w:vAlign w:val="bottom"/>
                  <w:hideMark/>
                </w:tcPr>
                <w:p w14:paraId="26F85C80"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17</w:t>
                  </w:r>
                </w:p>
              </w:tc>
            </w:tr>
            <w:tr w:rsidR="007C1F03" w:rsidRPr="007C1F03" w14:paraId="7CE94DB8" w14:textId="77777777" w:rsidTr="00163492">
              <w:trPr>
                <w:trHeight w:val="315"/>
              </w:trPr>
              <w:tc>
                <w:tcPr>
                  <w:tcW w:w="1297" w:type="dxa"/>
                  <w:tcBorders>
                    <w:top w:val="nil"/>
                    <w:left w:val="single" w:sz="8" w:space="0" w:color="auto"/>
                    <w:bottom w:val="single" w:sz="8" w:space="0" w:color="auto"/>
                    <w:right w:val="single" w:sz="4" w:space="0" w:color="auto"/>
                  </w:tcBorders>
                  <w:shd w:val="clear" w:color="auto" w:fill="F2F2F2" w:themeFill="background1" w:themeFillShade="F2"/>
                  <w:noWrap/>
                  <w:vAlign w:val="bottom"/>
                  <w:hideMark/>
                </w:tcPr>
                <w:p w14:paraId="4F1B47D0"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Usmrcených osob</w:t>
                  </w:r>
                </w:p>
              </w:tc>
              <w:tc>
                <w:tcPr>
                  <w:tcW w:w="994" w:type="dxa"/>
                  <w:tcBorders>
                    <w:top w:val="nil"/>
                    <w:left w:val="nil"/>
                    <w:bottom w:val="single" w:sz="8" w:space="0" w:color="auto"/>
                    <w:right w:val="single" w:sz="4" w:space="0" w:color="auto"/>
                  </w:tcBorders>
                  <w:shd w:val="clear" w:color="auto" w:fill="F2F2F2" w:themeFill="background1" w:themeFillShade="F2"/>
                  <w:noWrap/>
                  <w:vAlign w:val="bottom"/>
                  <w:hideMark/>
                </w:tcPr>
                <w:p w14:paraId="649ED366"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4</w:t>
                  </w:r>
                </w:p>
              </w:tc>
              <w:tc>
                <w:tcPr>
                  <w:tcW w:w="855" w:type="dxa"/>
                  <w:tcBorders>
                    <w:top w:val="nil"/>
                    <w:left w:val="nil"/>
                    <w:bottom w:val="single" w:sz="8" w:space="0" w:color="auto"/>
                    <w:right w:val="single" w:sz="4" w:space="0" w:color="auto"/>
                  </w:tcBorders>
                  <w:shd w:val="clear" w:color="auto" w:fill="F2F2F2" w:themeFill="background1" w:themeFillShade="F2"/>
                  <w:noWrap/>
                  <w:vAlign w:val="bottom"/>
                  <w:hideMark/>
                </w:tcPr>
                <w:p w14:paraId="3C20CBEB"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w:t>
                  </w:r>
                </w:p>
              </w:tc>
              <w:tc>
                <w:tcPr>
                  <w:tcW w:w="895" w:type="dxa"/>
                  <w:tcBorders>
                    <w:top w:val="nil"/>
                    <w:left w:val="nil"/>
                    <w:bottom w:val="single" w:sz="8" w:space="0" w:color="auto"/>
                    <w:right w:val="single" w:sz="8" w:space="0" w:color="auto"/>
                  </w:tcBorders>
                  <w:shd w:val="clear" w:color="auto" w:fill="F2F2F2" w:themeFill="background1" w:themeFillShade="F2"/>
                  <w:noWrap/>
                  <w:vAlign w:val="bottom"/>
                  <w:hideMark/>
                </w:tcPr>
                <w:p w14:paraId="513BC45F"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w:t>
                  </w:r>
                </w:p>
              </w:tc>
            </w:tr>
          </w:tbl>
          <w:p w14:paraId="1CEC74E4" w14:textId="77777777" w:rsidR="00C01464" w:rsidRPr="007C1F03" w:rsidRDefault="00C01464" w:rsidP="00726D2A">
            <w:pPr>
              <w:jc w:val="both"/>
              <w:rPr>
                <w:rFonts w:cstheme="minorHAnsi"/>
                <w:sz w:val="20"/>
                <w:szCs w:val="20"/>
              </w:rPr>
            </w:pPr>
          </w:p>
        </w:tc>
        <w:tc>
          <w:tcPr>
            <w:tcW w:w="4536" w:type="dxa"/>
          </w:tcPr>
          <w:tbl>
            <w:tblPr>
              <w:tblW w:w="4399" w:type="dxa"/>
              <w:tblCellMar>
                <w:left w:w="70" w:type="dxa"/>
                <w:right w:w="70" w:type="dxa"/>
              </w:tblCellMar>
              <w:tblLook w:val="04A0" w:firstRow="1" w:lastRow="0" w:firstColumn="1" w:lastColumn="0" w:noHBand="0" w:noVBand="1"/>
            </w:tblPr>
            <w:tblGrid>
              <w:gridCol w:w="1420"/>
              <w:gridCol w:w="992"/>
              <w:gridCol w:w="994"/>
              <w:gridCol w:w="993"/>
            </w:tblGrid>
            <w:tr w:rsidR="007C1F03" w:rsidRPr="00C01464" w14:paraId="26CFCB2C" w14:textId="77777777" w:rsidTr="00163492">
              <w:trPr>
                <w:trHeight w:val="300"/>
              </w:trPr>
              <w:tc>
                <w:tcPr>
                  <w:tcW w:w="1420" w:type="dxa"/>
                  <w:vMerge w:val="restart"/>
                  <w:tcBorders>
                    <w:top w:val="single" w:sz="8" w:space="0" w:color="auto"/>
                    <w:left w:val="single" w:sz="8" w:space="0" w:color="auto"/>
                    <w:bottom w:val="single" w:sz="4" w:space="0" w:color="000000"/>
                    <w:right w:val="single" w:sz="4" w:space="0" w:color="auto"/>
                  </w:tcBorders>
                  <w:shd w:val="clear" w:color="auto" w:fill="auto"/>
                  <w:noWrap/>
                  <w:vAlign w:val="bottom"/>
                  <w:hideMark/>
                </w:tcPr>
                <w:p w14:paraId="7067C914"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 </w:t>
                  </w:r>
                </w:p>
              </w:tc>
              <w:tc>
                <w:tcPr>
                  <w:tcW w:w="2979" w:type="dxa"/>
                  <w:gridSpan w:val="3"/>
                  <w:tcBorders>
                    <w:top w:val="single" w:sz="8" w:space="0" w:color="auto"/>
                    <w:left w:val="nil"/>
                    <w:bottom w:val="single" w:sz="4" w:space="0" w:color="auto"/>
                    <w:right w:val="single" w:sz="8" w:space="0" w:color="000000"/>
                  </w:tcBorders>
                  <w:shd w:val="clear" w:color="auto" w:fill="000000" w:themeFill="text1"/>
                  <w:noWrap/>
                  <w:vAlign w:val="bottom"/>
                  <w:hideMark/>
                </w:tcPr>
                <w:p w14:paraId="5899FEC6"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163492">
                    <w:rPr>
                      <w:rFonts w:eastAsia="Times New Roman" w:cstheme="minorHAnsi"/>
                      <w:b/>
                      <w:bCs/>
                      <w:color w:val="FFFFFF" w:themeColor="background1"/>
                      <w:sz w:val="20"/>
                      <w:szCs w:val="20"/>
                      <w:lang w:eastAsia="cs-CZ"/>
                    </w:rPr>
                    <w:t xml:space="preserve">Komíny </w:t>
                  </w:r>
                </w:p>
              </w:tc>
            </w:tr>
            <w:tr w:rsidR="007C1F03" w:rsidRPr="00C01464" w14:paraId="27142F22" w14:textId="77777777" w:rsidTr="007C1F03">
              <w:trPr>
                <w:trHeight w:val="300"/>
              </w:trPr>
              <w:tc>
                <w:tcPr>
                  <w:tcW w:w="1420" w:type="dxa"/>
                  <w:vMerge/>
                  <w:tcBorders>
                    <w:top w:val="single" w:sz="8" w:space="0" w:color="auto"/>
                    <w:left w:val="single" w:sz="8" w:space="0" w:color="auto"/>
                    <w:bottom w:val="single" w:sz="4" w:space="0" w:color="000000"/>
                    <w:right w:val="single" w:sz="4" w:space="0" w:color="auto"/>
                  </w:tcBorders>
                  <w:vAlign w:val="center"/>
                  <w:hideMark/>
                </w:tcPr>
                <w:p w14:paraId="0CB21747" w14:textId="77777777" w:rsidR="00C01464" w:rsidRPr="00C01464" w:rsidRDefault="00C01464" w:rsidP="00726D2A">
                  <w:pPr>
                    <w:spacing w:after="0" w:line="240" w:lineRule="auto"/>
                    <w:rPr>
                      <w:rFonts w:eastAsia="Times New Roman" w:cstheme="minorHAnsi"/>
                      <w:b/>
                      <w:bCs/>
                      <w:color w:val="000000"/>
                      <w:sz w:val="20"/>
                      <w:szCs w:val="20"/>
                      <w:lang w:eastAsia="cs-CZ"/>
                    </w:rPr>
                  </w:pPr>
                </w:p>
              </w:tc>
              <w:tc>
                <w:tcPr>
                  <w:tcW w:w="992" w:type="dxa"/>
                  <w:tcBorders>
                    <w:top w:val="nil"/>
                    <w:left w:val="nil"/>
                    <w:bottom w:val="single" w:sz="4" w:space="0" w:color="auto"/>
                    <w:right w:val="single" w:sz="4" w:space="0" w:color="auto"/>
                  </w:tcBorders>
                  <w:shd w:val="clear" w:color="auto" w:fill="auto"/>
                  <w:noWrap/>
                  <w:vAlign w:val="bottom"/>
                  <w:hideMark/>
                </w:tcPr>
                <w:p w14:paraId="2733AC6D"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2020</w:t>
                  </w:r>
                </w:p>
              </w:tc>
              <w:tc>
                <w:tcPr>
                  <w:tcW w:w="994" w:type="dxa"/>
                  <w:tcBorders>
                    <w:top w:val="nil"/>
                    <w:left w:val="nil"/>
                    <w:bottom w:val="single" w:sz="4" w:space="0" w:color="auto"/>
                    <w:right w:val="single" w:sz="4" w:space="0" w:color="auto"/>
                  </w:tcBorders>
                  <w:shd w:val="clear" w:color="auto" w:fill="auto"/>
                  <w:noWrap/>
                  <w:vAlign w:val="bottom"/>
                  <w:hideMark/>
                </w:tcPr>
                <w:p w14:paraId="046A9CD4"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2021</w:t>
                  </w:r>
                </w:p>
              </w:tc>
              <w:tc>
                <w:tcPr>
                  <w:tcW w:w="993" w:type="dxa"/>
                  <w:tcBorders>
                    <w:top w:val="nil"/>
                    <w:left w:val="nil"/>
                    <w:bottom w:val="single" w:sz="4" w:space="0" w:color="auto"/>
                    <w:right w:val="single" w:sz="8" w:space="0" w:color="auto"/>
                  </w:tcBorders>
                  <w:shd w:val="clear" w:color="auto" w:fill="auto"/>
                  <w:noWrap/>
                  <w:vAlign w:val="bottom"/>
                  <w:hideMark/>
                </w:tcPr>
                <w:p w14:paraId="090F3295"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2022</w:t>
                  </w:r>
                </w:p>
              </w:tc>
            </w:tr>
            <w:tr w:rsidR="007C1F03" w:rsidRPr="00C01464" w14:paraId="1CA71597" w14:textId="77777777" w:rsidTr="007C1F03">
              <w:trPr>
                <w:trHeight w:val="30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14:paraId="4C60FD3F"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Počet požárů</w:t>
                  </w:r>
                </w:p>
              </w:tc>
              <w:tc>
                <w:tcPr>
                  <w:tcW w:w="992" w:type="dxa"/>
                  <w:tcBorders>
                    <w:top w:val="nil"/>
                    <w:left w:val="nil"/>
                    <w:bottom w:val="single" w:sz="4" w:space="0" w:color="auto"/>
                    <w:right w:val="single" w:sz="4" w:space="0" w:color="auto"/>
                  </w:tcBorders>
                  <w:shd w:val="clear" w:color="auto" w:fill="auto"/>
                  <w:noWrap/>
                  <w:vAlign w:val="bottom"/>
                  <w:hideMark/>
                </w:tcPr>
                <w:p w14:paraId="3FE0482E"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1352</w:t>
                  </w:r>
                </w:p>
              </w:tc>
              <w:tc>
                <w:tcPr>
                  <w:tcW w:w="994" w:type="dxa"/>
                  <w:tcBorders>
                    <w:top w:val="nil"/>
                    <w:left w:val="nil"/>
                    <w:bottom w:val="single" w:sz="4" w:space="0" w:color="auto"/>
                    <w:right w:val="single" w:sz="4" w:space="0" w:color="auto"/>
                  </w:tcBorders>
                  <w:shd w:val="clear" w:color="auto" w:fill="auto"/>
                  <w:noWrap/>
                  <w:vAlign w:val="bottom"/>
                  <w:hideMark/>
                </w:tcPr>
                <w:p w14:paraId="1A3DF4F0"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1340</w:t>
                  </w:r>
                </w:p>
              </w:tc>
              <w:tc>
                <w:tcPr>
                  <w:tcW w:w="993" w:type="dxa"/>
                  <w:tcBorders>
                    <w:top w:val="nil"/>
                    <w:left w:val="nil"/>
                    <w:bottom w:val="single" w:sz="4" w:space="0" w:color="auto"/>
                    <w:right w:val="single" w:sz="8" w:space="0" w:color="auto"/>
                  </w:tcBorders>
                  <w:shd w:val="clear" w:color="auto" w:fill="auto"/>
                  <w:noWrap/>
                  <w:vAlign w:val="bottom"/>
                  <w:hideMark/>
                </w:tcPr>
                <w:p w14:paraId="55EA6810"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1245</w:t>
                  </w:r>
                </w:p>
              </w:tc>
            </w:tr>
            <w:tr w:rsidR="007C1F03" w:rsidRPr="007C1F03" w14:paraId="426B4B48" w14:textId="77777777" w:rsidTr="00163492">
              <w:trPr>
                <w:trHeight w:val="300"/>
              </w:trPr>
              <w:tc>
                <w:tcPr>
                  <w:tcW w:w="1420"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50F40B49"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Přímá škoda (tis. Kč)</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hideMark/>
                </w:tcPr>
                <w:p w14:paraId="3D61C9A9" w14:textId="1755571C"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46</w:t>
                  </w:r>
                  <w:r w:rsidR="007C1F03">
                    <w:rPr>
                      <w:rFonts w:eastAsia="Times New Roman" w:cstheme="minorHAnsi"/>
                      <w:color w:val="000000"/>
                      <w:sz w:val="20"/>
                      <w:szCs w:val="20"/>
                      <w:lang w:eastAsia="cs-CZ"/>
                    </w:rPr>
                    <w:t xml:space="preserve"> </w:t>
                  </w:r>
                  <w:r w:rsidRPr="00C01464">
                    <w:rPr>
                      <w:rFonts w:eastAsia="Times New Roman" w:cstheme="minorHAnsi"/>
                      <w:color w:val="000000"/>
                      <w:sz w:val="20"/>
                      <w:szCs w:val="20"/>
                      <w:lang w:eastAsia="cs-CZ"/>
                    </w:rPr>
                    <w:t>175.8</w:t>
                  </w:r>
                </w:p>
              </w:tc>
              <w:tc>
                <w:tcPr>
                  <w:tcW w:w="994" w:type="dxa"/>
                  <w:tcBorders>
                    <w:top w:val="nil"/>
                    <w:left w:val="nil"/>
                    <w:bottom w:val="single" w:sz="4" w:space="0" w:color="auto"/>
                    <w:right w:val="single" w:sz="4" w:space="0" w:color="auto"/>
                  </w:tcBorders>
                  <w:shd w:val="clear" w:color="auto" w:fill="F2F2F2" w:themeFill="background1" w:themeFillShade="F2"/>
                  <w:noWrap/>
                  <w:vAlign w:val="bottom"/>
                  <w:hideMark/>
                </w:tcPr>
                <w:p w14:paraId="6B821F93" w14:textId="3FFB94EB"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69</w:t>
                  </w:r>
                  <w:r w:rsidR="007C1F03">
                    <w:rPr>
                      <w:rFonts w:eastAsia="Times New Roman" w:cstheme="minorHAnsi"/>
                      <w:color w:val="000000"/>
                      <w:sz w:val="20"/>
                      <w:szCs w:val="20"/>
                      <w:lang w:eastAsia="cs-CZ"/>
                    </w:rPr>
                    <w:t xml:space="preserve"> </w:t>
                  </w:r>
                  <w:r w:rsidRPr="00C01464">
                    <w:rPr>
                      <w:rFonts w:eastAsia="Times New Roman" w:cstheme="minorHAnsi"/>
                      <w:color w:val="000000"/>
                      <w:sz w:val="20"/>
                      <w:szCs w:val="20"/>
                      <w:lang w:eastAsia="cs-CZ"/>
                    </w:rPr>
                    <w:t>449.8</w:t>
                  </w:r>
                </w:p>
              </w:tc>
              <w:tc>
                <w:tcPr>
                  <w:tcW w:w="993" w:type="dxa"/>
                  <w:tcBorders>
                    <w:top w:val="nil"/>
                    <w:left w:val="nil"/>
                    <w:bottom w:val="single" w:sz="4" w:space="0" w:color="auto"/>
                    <w:right w:val="single" w:sz="8" w:space="0" w:color="auto"/>
                  </w:tcBorders>
                  <w:shd w:val="clear" w:color="auto" w:fill="F2F2F2" w:themeFill="background1" w:themeFillShade="F2"/>
                  <w:noWrap/>
                  <w:vAlign w:val="bottom"/>
                  <w:hideMark/>
                </w:tcPr>
                <w:p w14:paraId="7A0239AB" w14:textId="318CBEFF"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66</w:t>
                  </w:r>
                  <w:r w:rsidR="007C1F03">
                    <w:rPr>
                      <w:rFonts w:eastAsia="Times New Roman" w:cstheme="minorHAnsi"/>
                      <w:color w:val="000000"/>
                      <w:sz w:val="20"/>
                      <w:szCs w:val="20"/>
                      <w:lang w:eastAsia="cs-CZ"/>
                    </w:rPr>
                    <w:t xml:space="preserve"> </w:t>
                  </w:r>
                  <w:r w:rsidRPr="00C01464">
                    <w:rPr>
                      <w:rFonts w:eastAsia="Times New Roman" w:cstheme="minorHAnsi"/>
                      <w:color w:val="000000"/>
                      <w:sz w:val="20"/>
                      <w:szCs w:val="20"/>
                      <w:lang w:eastAsia="cs-CZ"/>
                    </w:rPr>
                    <w:t>034.9</w:t>
                  </w:r>
                </w:p>
              </w:tc>
            </w:tr>
            <w:tr w:rsidR="007C1F03" w:rsidRPr="007C1F03" w14:paraId="5FE6B8C0" w14:textId="77777777" w:rsidTr="00163492">
              <w:trPr>
                <w:trHeight w:val="300"/>
              </w:trPr>
              <w:tc>
                <w:tcPr>
                  <w:tcW w:w="1420"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2933F43B"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Zraněných osob</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hideMark/>
                </w:tcPr>
                <w:p w14:paraId="492D4490"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14</w:t>
                  </w:r>
                </w:p>
              </w:tc>
              <w:tc>
                <w:tcPr>
                  <w:tcW w:w="994" w:type="dxa"/>
                  <w:tcBorders>
                    <w:top w:val="nil"/>
                    <w:left w:val="nil"/>
                    <w:bottom w:val="single" w:sz="4" w:space="0" w:color="auto"/>
                    <w:right w:val="single" w:sz="4" w:space="0" w:color="auto"/>
                  </w:tcBorders>
                  <w:shd w:val="clear" w:color="auto" w:fill="F2F2F2" w:themeFill="background1" w:themeFillShade="F2"/>
                  <w:noWrap/>
                  <w:vAlign w:val="bottom"/>
                  <w:hideMark/>
                </w:tcPr>
                <w:p w14:paraId="68AC2CF0"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25</w:t>
                  </w:r>
                </w:p>
              </w:tc>
              <w:tc>
                <w:tcPr>
                  <w:tcW w:w="993" w:type="dxa"/>
                  <w:tcBorders>
                    <w:top w:val="nil"/>
                    <w:left w:val="nil"/>
                    <w:bottom w:val="single" w:sz="4" w:space="0" w:color="auto"/>
                    <w:right w:val="single" w:sz="8" w:space="0" w:color="auto"/>
                  </w:tcBorders>
                  <w:shd w:val="clear" w:color="auto" w:fill="F2F2F2" w:themeFill="background1" w:themeFillShade="F2"/>
                  <w:noWrap/>
                  <w:vAlign w:val="bottom"/>
                  <w:hideMark/>
                </w:tcPr>
                <w:p w14:paraId="3044F138"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28</w:t>
                  </w:r>
                </w:p>
              </w:tc>
            </w:tr>
            <w:tr w:rsidR="007C1F03" w:rsidRPr="007C1F03" w14:paraId="19EA4889" w14:textId="77777777" w:rsidTr="00163492">
              <w:trPr>
                <w:trHeight w:val="315"/>
              </w:trPr>
              <w:tc>
                <w:tcPr>
                  <w:tcW w:w="1420" w:type="dxa"/>
                  <w:tcBorders>
                    <w:top w:val="nil"/>
                    <w:left w:val="single" w:sz="8" w:space="0" w:color="auto"/>
                    <w:bottom w:val="single" w:sz="8" w:space="0" w:color="auto"/>
                    <w:right w:val="single" w:sz="4" w:space="0" w:color="auto"/>
                  </w:tcBorders>
                  <w:shd w:val="clear" w:color="auto" w:fill="F2F2F2" w:themeFill="background1" w:themeFillShade="F2"/>
                  <w:noWrap/>
                  <w:vAlign w:val="bottom"/>
                  <w:hideMark/>
                </w:tcPr>
                <w:p w14:paraId="314A7B90"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Usmrcených osob</w:t>
                  </w:r>
                </w:p>
              </w:tc>
              <w:tc>
                <w:tcPr>
                  <w:tcW w:w="992" w:type="dxa"/>
                  <w:tcBorders>
                    <w:top w:val="nil"/>
                    <w:left w:val="nil"/>
                    <w:bottom w:val="single" w:sz="8" w:space="0" w:color="auto"/>
                    <w:right w:val="single" w:sz="4" w:space="0" w:color="auto"/>
                  </w:tcBorders>
                  <w:shd w:val="clear" w:color="auto" w:fill="F2F2F2" w:themeFill="background1" w:themeFillShade="F2"/>
                  <w:noWrap/>
                  <w:vAlign w:val="bottom"/>
                  <w:hideMark/>
                </w:tcPr>
                <w:p w14:paraId="117306AD"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w:t>
                  </w:r>
                </w:p>
              </w:tc>
              <w:tc>
                <w:tcPr>
                  <w:tcW w:w="994" w:type="dxa"/>
                  <w:tcBorders>
                    <w:top w:val="nil"/>
                    <w:left w:val="nil"/>
                    <w:bottom w:val="single" w:sz="8" w:space="0" w:color="auto"/>
                    <w:right w:val="single" w:sz="4" w:space="0" w:color="auto"/>
                  </w:tcBorders>
                  <w:shd w:val="clear" w:color="auto" w:fill="F2F2F2" w:themeFill="background1" w:themeFillShade="F2"/>
                  <w:noWrap/>
                  <w:vAlign w:val="bottom"/>
                  <w:hideMark/>
                </w:tcPr>
                <w:p w14:paraId="04D3D9A4"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2</w:t>
                  </w:r>
                </w:p>
              </w:tc>
              <w:tc>
                <w:tcPr>
                  <w:tcW w:w="993" w:type="dxa"/>
                  <w:tcBorders>
                    <w:top w:val="nil"/>
                    <w:left w:val="nil"/>
                    <w:bottom w:val="single" w:sz="8" w:space="0" w:color="auto"/>
                    <w:right w:val="single" w:sz="8" w:space="0" w:color="auto"/>
                  </w:tcBorders>
                  <w:shd w:val="clear" w:color="auto" w:fill="F2F2F2" w:themeFill="background1" w:themeFillShade="F2"/>
                  <w:noWrap/>
                  <w:vAlign w:val="bottom"/>
                  <w:hideMark/>
                </w:tcPr>
                <w:p w14:paraId="4E51244C"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0</w:t>
                  </w:r>
                </w:p>
              </w:tc>
            </w:tr>
          </w:tbl>
          <w:p w14:paraId="364CFE2F" w14:textId="77777777" w:rsidR="00C01464" w:rsidRPr="007C1F03" w:rsidRDefault="00C01464" w:rsidP="00726D2A">
            <w:pPr>
              <w:jc w:val="both"/>
              <w:rPr>
                <w:rFonts w:cstheme="minorHAnsi"/>
                <w:sz w:val="20"/>
                <w:szCs w:val="20"/>
              </w:rPr>
            </w:pPr>
          </w:p>
        </w:tc>
      </w:tr>
      <w:tr w:rsidR="00C01464" w14:paraId="45524D15" w14:textId="77777777" w:rsidTr="00C01464">
        <w:tc>
          <w:tcPr>
            <w:tcW w:w="4536" w:type="dxa"/>
          </w:tcPr>
          <w:p w14:paraId="60103221" w14:textId="0E400B34" w:rsidR="00C01464" w:rsidRDefault="00C01464" w:rsidP="00726D2A">
            <w:pPr>
              <w:jc w:val="center"/>
              <w:rPr>
                <w:sz w:val="24"/>
                <w:szCs w:val="24"/>
              </w:rPr>
            </w:pPr>
            <w:r>
              <w:rPr>
                <w:sz w:val="24"/>
                <w:szCs w:val="24"/>
              </w:rPr>
              <w:t>Tabulka 1 Požáry topidel v ČR za období 2020-2022</w:t>
            </w:r>
          </w:p>
        </w:tc>
        <w:tc>
          <w:tcPr>
            <w:tcW w:w="4536" w:type="dxa"/>
          </w:tcPr>
          <w:p w14:paraId="685FFBF8" w14:textId="2FF9094C" w:rsidR="00C01464" w:rsidRDefault="00C01464" w:rsidP="00726D2A">
            <w:pPr>
              <w:jc w:val="center"/>
              <w:rPr>
                <w:sz w:val="24"/>
                <w:szCs w:val="24"/>
              </w:rPr>
            </w:pPr>
            <w:r>
              <w:rPr>
                <w:sz w:val="24"/>
                <w:szCs w:val="24"/>
              </w:rPr>
              <w:t>Tabulka 2 Požáry komínů v ČR za období 2020-2022</w:t>
            </w:r>
          </w:p>
        </w:tc>
      </w:tr>
    </w:tbl>
    <w:p w14:paraId="2436B0DA" w14:textId="77777777" w:rsidR="007C1F03" w:rsidRDefault="007C1F03" w:rsidP="00726D2A">
      <w:pPr>
        <w:spacing w:line="240" w:lineRule="auto"/>
        <w:jc w:val="both"/>
        <w:rPr>
          <w:sz w:val="24"/>
          <w:szCs w:val="24"/>
        </w:rPr>
      </w:pPr>
    </w:p>
    <w:p w14:paraId="40436A95" w14:textId="3D41E68E" w:rsidR="00AE3A8E" w:rsidRDefault="00631A44" w:rsidP="00726D2A">
      <w:pPr>
        <w:spacing w:line="240" w:lineRule="auto"/>
        <w:jc w:val="both"/>
        <w:rPr>
          <w:sz w:val="24"/>
          <w:szCs w:val="24"/>
        </w:rPr>
      </w:pPr>
      <w:r>
        <w:rPr>
          <w:sz w:val="24"/>
          <w:szCs w:val="24"/>
        </w:rPr>
        <w:t>Spotřebiče</w:t>
      </w:r>
      <w:r w:rsidR="008A456D">
        <w:rPr>
          <w:sz w:val="24"/>
          <w:szCs w:val="24"/>
        </w:rPr>
        <w:t xml:space="preserve"> je možné podle druhu spalované látky rozdělit na spotřebiče na tuhá, kapalná a plynná paliva. </w:t>
      </w:r>
      <w:r w:rsidR="00C2051D">
        <w:rPr>
          <w:sz w:val="24"/>
          <w:szCs w:val="24"/>
        </w:rPr>
        <w:t xml:space="preserve">Pro každý </w:t>
      </w:r>
      <w:r w:rsidR="00AE3A8E">
        <w:rPr>
          <w:sz w:val="24"/>
          <w:szCs w:val="24"/>
        </w:rPr>
        <w:t>druh spotřebiče platí jiná pravidla pro jejich provoz a údržbu. Proto je nutné vždy p</w:t>
      </w:r>
      <w:r w:rsidR="008A456D">
        <w:rPr>
          <w:sz w:val="24"/>
          <w:szCs w:val="24"/>
        </w:rPr>
        <w:t>ři jejich užívání postupovat v souladu s návodem výrobce</w:t>
      </w:r>
      <w:r w:rsidR="00AE3A8E">
        <w:rPr>
          <w:sz w:val="24"/>
          <w:szCs w:val="24"/>
        </w:rPr>
        <w:t xml:space="preserve">. </w:t>
      </w:r>
      <w:r w:rsidR="00AE3A8E" w:rsidRPr="00AE3A8E">
        <w:rPr>
          <w:sz w:val="24"/>
          <w:szCs w:val="24"/>
        </w:rPr>
        <w:t>Při používání tepelných</w:t>
      </w:r>
      <w:r w:rsidR="00B877A5">
        <w:rPr>
          <w:sz w:val="24"/>
          <w:szCs w:val="24"/>
        </w:rPr>
        <w:t xml:space="preserve"> spotřebičů</w:t>
      </w:r>
      <w:r w:rsidR="00AE3A8E" w:rsidRPr="00AE3A8E">
        <w:rPr>
          <w:sz w:val="24"/>
          <w:szCs w:val="24"/>
        </w:rPr>
        <w:t>, u kterých není k dispozici průvodní dokumentace (návod výrobce na provoz, kontroly, údržbu, obsluhu apod.), se postupuje podle dokumentace technicky a funkčně srovnatelných druhů a typů spotřebičů.</w:t>
      </w:r>
      <w:r w:rsidR="00B877A5">
        <w:rPr>
          <w:sz w:val="24"/>
          <w:szCs w:val="24"/>
        </w:rPr>
        <w:t xml:space="preserve"> V průvodní dokumentaci výrobce by měla vždy být uvedena i tzv. bezpečná vzdálenost </w:t>
      </w:r>
      <w:r w:rsidR="00AE3A8E" w:rsidRPr="00AE3A8E">
        <w:rPr>
          <w:sz w:val="24"/>
          <w:szCs w:val="24"/>
        </w:rPr>
        <w:t>spotřebiče od povrchů stavební konstrukce, podlahové krytiny a zařizovacích předmětů z hořlavých hmot</w:t>
      </w:r>
      <w:r w:rsidR="00B877A5">
        <w:rPr>
          <w:sz w:val="24"/>
          <w:szCs w:val="24"/>
        </w:rPr>
        <w:t xml:space="preserve">. Základní bezpečné vzdálenosti </w:t>
      </w:r>
      <w:r w:rsidR="00B877A5">
        <w:rPr>
          <w:sz w:val="24"/>
          <w:szCs w:val="24"/>
        </w:rPr>
        <w:lastRenderedPageBreak/>
        <w:t xml:space="preserve">spotřebičů od hořlavých hmot jsou stanoveny v příloze č. 8 k vyhlášce č. 23/2008 Sb., </w:t>
      </w:r>
      <w:r w:rsidR="00B877A5" w:rsidRPr="00B877A5">
        <w:rPr>
          <w:sz w:val="24"/>
          <w:szCs w:val="24"/>
        </w:rPr>
        <w:t>o technických podmínkách požární ochrany staveb</w:t>
      </w:r>
      <w:r w:rsidR="00B877A5">
        <w:rPr>
          <w:sz w:val="24"/>
          <w:szCs w:val="24"/>
        </w:rPr>
        <w:t xml:space="preserve">, ve znění pozdějších předpisů. </w:t>
      </w:r>
    </w:p>
    <w:p w14:paraId="79A6F579" w14:textId="18AF9F72" w:rsidR="00B877A5" w:rsidRDefault="00B877A5" w:rsidP="00726D2A">
      <w:pPr>
        <w:spacing w:line="240" w:lineRule="auto"/>
        <w:jc w:val="both"/>
        <w:rPr>
          <w:sz w:val="24"/>
          <w:szCs w:val="24"/>
        </w:rPr>
      </w:pPr>
      <w:r>
        <w:rPr>
          <w:sz w:val="24"/>
          <w:szCs w:val="24"/>
        </w:rPr>
        <w:t>Kromě spotřebičů, je nutné rovněž pečovat o spalinové cesty. S</w:t>
      </w:r>
      <w:r w:rsidRPr="00B877A5">
        <w:rPr>
          <w:sz w:val="24"/>
          <w:szCs w:val="24"/>
        </w:rPr>
        <w:t>palinová cesta neboli komín</w:t>
      </w:r>
      <w:r>
        <w:rPr>
          <w:sz w:val="24"/>
          <w:szCs w:val="24"/>
        </w:rPr>
        <w:t xml:space="preserve"> j</w:t>
      </w:r>
      <w:r w:rsidRPr="00B877A5">
        <w:rPr>
          <w:sz w:val="24"/>
          <w:szCs w:val="24"/>
        </w:rPr>
        <w:t>e</w:t>
      </w:r>
      <w:r w:rsidR="000D417B">
        <w:rPr>
          <w:sz w:val="24"/>
          <w:szCs w:val="24"/>
        </w:rPr>
        <w:t xml:space="preserve"> </w:t>
      </w:r>
      <w:r w:rsidRPr="00B877A5">
        <w:rPr>
          <w:sz w:val="24"/>
          <w:szCs w:val="24"/>
        </w:rPr>
        <w:t>dutina určená pro odvod spalin do volného ovzduší. Komínové těleso jako celek se skládá z tepelného spotřebiče, kouřovodu a komína.</w:t>
      </w:r>
      <w:r w:rsidR="000D417B">
        <w:rPr>
          <w:sz w:val="24"/>
          <w:szCs w:val="24"/>
        </w:rPr>
        <w:t xml:space="preserve"> </w:t>
      </w:r>
      <w:r w:rsidR="000D417B" w:rsidRPr="000D417B">
        <w:rPr>
          <w:sz w:val="24"/>
          <w:szCs w:val="24"/>
        </w:rPr>
        <w:t>Všichni provozovatelé spalinových cest by neměli zapomenout na povinnosti související s jejich provozem, které jsou stanoveny zákonem č. 133/1985 Sb., o požární ochraně</w:t>
      </w:r>
      <w:r w:rsidR="000D417B">
        <w:rPr>
          <w:sz w:val="24"/>
          <w:szCs w:val="24"/>
        </w:rPr>
        <w:t>, ve znění pozdějších předpisů,</w:t>
      </w:r>
      <w:r w:rsidR="000D417B" w:rsidRPr="000D417B">
        <w:rPr>
          <w:sz w:val="24"/>
          <w:szCs w:val="24"/>
        </w:rPr>
        <w:t xml:space="preserve"> a vyhláškou č. 34/2016 Sb., o čištění, kontrole a revizi spalinové cesty, která stanovuje četnost čištění a kontrol spalinových cest.</w:t>
      </w:r>
    </w:p>
    <w:p w14:paraId="24848ED0" w14:textId="0C679676" w:rsidR="000D417B" w:rsidRPr="00757162" w:rsidRDefault="000D417B" w:rsidP="00726D2A">
      <w:pPr>
        <w:spacing w:line="240" w:lineRule="auto"/>
        <w:jc w:val="both"/>
        <w:rPr>
          <w:b/>
          <w:sz w:val="24"/>
          <w:szCs w:val="24"/>
          <w:u w:val="single"/>
        </w:rPr>
      </w:pPr>
      <w:r w:rsidRPr="00757162">
        <w:rPr>
          <w:b/>
          <w:sz w:val="24"/>
          <w:szCs w:val="24"/>
          <w:u w:val="single"/>
        </w:rPr>
        <w:t>Revize spalinové cesty</w:t>
      </w:r>
    </w:p>
    <w:p w14:paraId="0FE1DB00" w14:textId="5ADC32EF" w:rsidR="000D417B" w:rsidRPr="000D417B" w:rsidRDefault="009C2803" w:rsidP="00726D2A">
      <w:pPr>
        <w:spacing w:line="240" w:lineRule="auto"/>
        <w:jc w:val="both"/>
        <w:rPr>
          <w:sz w:val="24"/>
          <w:szCs w:val="24"/>
        </w:rPr>
      </w:pPr>
      <w:r>
        <w:rPr>
          <w:sz w:val="24"/>
          <w:szCs w:val="24"/>
        </w:rPr>
        <w:t>Provádí se</w:t>
      </w:r>
      <w:r w:rsidR="000D417B" w:rsidRPr="000D417B">
        <w:rPr>
          <w:sz w:val="24"/>
          <w:szCs w:val="24"/>
        </w:rPr>
        <w:t>:</w:t>
      </w:r>
    </w:p>
    <w:p w14:paraId="70B06D31" w14:textId="77777777" w:rsidR="000D417B" w:rsidRPr="000D417B" w:rsidRDefault="000D417B" w:rsidP="00726D2A">
      <w:pPr>
        <w:pStyle w:val="Odstavecseseznamem"/>
        <w:numPr>
          <w:ilvl w:val="0"/>
          <w:numId w:val="2"/>
        </w:numPr>
        <w:spacing w:line="240" w:lineRule="auto"/>
        <w:jc w:val="both"/>
        <w:rPr>
          <w:sz w:val="24"/>
          <w:szCs w:val="24"/>
        </w:rPr>
      </w:pPr>
      <w:r w:rsidRPr="000D417B">
        <w:rPr>
          <w:sz w:val="24"/>
          <w:szCs w:val="24"/>
        </w:rPr>
        <w:t>před jejím uvedením do provozu nebo při každé stavební úpravě komínu,</w:t>
      </w:r>
    </w:p>
    <w:p w14:paraId="3B59E7DD" w14:textId="77777777" w:rsidR="000D417B" w:rsidRPr="000D417B" w:rsidRDefault="000D417B" w:rsidP="00726D2A">
      <w:pPr>
        <w:pStyle w:val="Odstavecseseznamem"/>
        <w:numPr>
          <w:ilvl w:val="0"/>
          <w:numId w:val="2"/>
        </w:numPr>
        <w:spacing w:line="240" w:lineRule="auto"/>
        <w:jc w:val="both"/>
        <w:rPr>
          <w:sz w:val="24"/>
          <w:szCs w:val="24"/>
        </w:rPr>
      </w:pPr>
      <w:r w:rsidRPr="000D417B">
        <w:rPr>
          <w:sz w:val="24"/>
          <w:szCs w:val="24"/>
        </w:rPr>
        <w:t>při změně druhu paliva připojeného spotřebiče,</w:t>
      </w:r>
    </w:p>
    <w:p w14:paraId="0320D4E4" w14:textId="77777777" w:rsidR="000D417B" w:rsidRPr="000D417B" w:rsidRDefault="000D417B" w:rsidP="00726D2A">
      <w:pPr>
        <w:pStyle w:val="Odstavecseseznamem"/>
        <w:numPr>
          <w:ilvl w:val="0"/>
          <w:numId w:val="2"/>
        </w:numPr>
        <w:spacing w:line="240" w:lineRule="auto"/>
        <w:jc w:val="both"/>
        <w:rPr>
          <w:sz w:val="24"/>
          <w:szCs w:val="24"/>
        </w:rPr>
      </w:pPr>
      <w:r w:rsidRPr="000D417B">
        <w:rPr>
          <w:sz w:val="24"/>
          <w:szCs w:val="24"/>
        </w:rPr>
        <w:t>před připojením spotřebiče do nepoužívané spalinové cesty,</w:t>
      </w:r>
    </w:p>
    <w:p w14:paraId="1D93ECDF" w14:textId="77777777" w:rsidR="000D417B" w:rsidRPr="000D417B" w:rsidRDefault="000D417B" w:rsidP="00726D2A">
      <w:pPr>
        <w:pStyle w:val="Odstavecseseznamem"/>
        <w:numPr>
          <w:ilvl w:val="0"/>
          <w:numId w:val="2"/>
        </w:numPr>
        <w:spacing w:line="240" w:lineRule="auto"/>
        <w:jc w:val="both"/>
        <w:rPr>
          <w:sz w:val="24"/>
          <w:szCs w:val="24"/>
        </w:rPr>
      </w:pPr>
      <w:r w:rsidRPr="000D417B">
        <w:rPr>
          <w:sz w:val="24"/>
          <w:szCs w:val="24"/>
        </w:rPr>
        <w:t>před výměnou spotřebiče paliv s výjimkou výměny spotřebiče stejného druhu, typu, provedení a výkonu za podmínky, že způsobilost spalinové cesty je potvrzena zprávou o provedení čištění a kontroly spalinové cesty,</w:t>
      </w:r>
    </w:p>
    <w:p w14:paraId="4EF2E9C6" w14:textId="77777777" w:rsidR="000D417B" w:rsidRPr="000D417B" w:rsidRDefault="000D417B" w:rsidP="00726D2A">
      <w:pPr>
        <w:pStyle w:val="Odstavecseseznamem"/>
        <w:numPr>
          <w:ilvl w:val="0"/>
          <w:numId w:val="2"/>
        </w:numPr>
        <w:spacing w:line="240" w:lineRule="auto"/>
        <w:jc w:val="both"/>
        <w:rPr>
          <w:sz w:val="24"/>
          <w:szCs w:val="24"/>
        </w:rPr>
      </w:pPr>
      <w:r w:rsidRPr="000D417B">
        <w:rPr>
          <w:sz w:val="24"/>
          <w:szCs w:val="24"/>
        </w:rPr>
        <w:t>po komínovém požáru,</w:t>
      </w:r>
    </w:p>
    <w:p w14:paraId="57FF3BB4" w14:textId="77777777" w:rsidR="000D417B" w:rsidRPr="000D417B" w:rsidRDefault="000D417B" w:rsidP="00726D2A">
      <w:pPr>
        <w:pStyle w:val="Odstavecseseznamem"/>
        <w:numPr>
          <w:ilvl w:val="0"/>
          <w:numId w:val="2"/>
        </w:numPr>
        <w:spacing w:line="240" w:lineRule="auto"/>
        <w:jc w:val="both"/>
        <w:rPr>
          <w:sz w:val="24"/>
          <w:szCs w:val="24"/>
        </w:rPr>
      </w:pPr>
      <w:r w:rsidRPr="000D417B">
        <w:rPr>
          <w:sz w:val="24"/>
          <w:szCs w:val="24"/>
        </w:rPr>
        <w:t>při vzniku trhlin ve spalinové cestě, popř. při důvodném podezření na výskyt trhlin ve spalinové cestě.</w:t>
      </w:r>
    </w:p>
    <w:p w14:paraId="75A23C02" w14:textId="23C289A2" w:rsidR="000D417B" w:rsidRDefault="000D417B" w:rsidP="00726D2A">
      <w:pPr>
        <w:spacing w:line="240" w:lineRule="auto"/>
        <w:jc w:val="both"/>
        <w:rPr>
          <w:sz w:val="24"/>
          <w:szCs w:val="24"/>
        </w:rPr>
      </w:pPr>
      <w:r w:rsidRPr="000D417B">
        <w:rPr>
          <w:sz w:val="24"/>
          <w:szCs w:val="24"/>
        </w:rPr>
        <w:t>Revizi spalinových cest může provádět výhradně oprávněná osoba, kterou je zároveň držitel osvědčení revizního technika spalinových cest.</w:t>
      </w:r>
    </w:p>
    <w:p w14:paraId="37BDB79F" w14:textId="77777777" w:rsidR="00087996" w:rsidRDefault="00087996" w:rsidP="00726D2A">
      <w:pPr>
        <w:spacing w:line="240" w:lineRule="auto"/>
        <w:jc w:val="both"/>
        <w:rPr>
          <w:b/>
          <w:sz w:val="24"/>
          <w:szCs w:val="24"/>
          <w:u w:val="single"/>
        </w:rPr>
      </w:pPr>
    </w:p>
    <w:p w14:paraId="7610BAAF" w14:textId="083D6E50" w:rsidR="000D417B" w:rsidRPr="00087996" w:rsidRDefault="000D417B" w:rsidP="00726D2A">
      <w:pPr>
        <w:spacing w:line="240" w:lineRule="auto"/>
        <w:jc w:val="both"/>
        <w:rPr>
          <w:b/>
          <w:sz w:val="24"/>
          <w:szCs w:val="24"/>
          <w:u w:val="single"/>
        </w:rPr>
      </w:pPr>
      <w:r w:rsidRPr="00087996">
        <w:rPr>
          <w:b/>
          <w:sz w:val="24"/>
          <w:szCs w:val="24"/>
          <w:u w:val="single"/>
        </w:rPr>
        <w:t>Čištění spalinové cesty</w:t>
      </w:r>
    </w:p>
    <w:p w14:paraId="1A9422CD" w14:textId="6F807A04" w:rsidR="000D417B" w:rsidRPr="000D417B" w:rsidRDefault="000D417B" w:rsidP="00726D2A">
      <w:pPr>
        <w:spacing w:line="240" w:lineRule="auto"/>
        <w:jc w:val="both"/>
        <w:rPr>
          <w:sz w:val="24"/>
          <w:szCs w:val="24"/>
        </w:rPr>
      </w:pPr>
      <w:r w:rsidRPr="000D417B">
        <w:rPr>
          <w:sz w:val="24"/>
          <w:szCs w:val="24"/>
        </w:rPr>
        <w:t>Čištěním spalinové cesty se rozumí pravidelné odstraňování pevných látek, usazenin a nečistot ze spalinové cesty a výběr pevných částí spalin nahromaděných v půdici komínového průduchu a kondenzátů ze spalinové cesty.</w:t>
      </w:r>
    </w:p>
    <w:p w14:paraId="22CEB71A" w14:textId="631CE371" w:rsidR="000D417B" w:rsidRPr="000D417B" w:rsidRDefault="009C2803" w:rsidP="00726D2A">
      <w:pPr>
        <w:spacing w:line="240" w:lineRule="auto"/>
        <w:jc w:val="both"/>
        <w:rPr>
          <w:sz w:val="24"/>
          <w:szCs w:val="24"/>
        </w:rPr>
      </w:pPr>
      <w:r>
        <w:rPr>
          <w:sz w:val="24"/>
          <w:szCs w:val="24"/>
        </w:rPr>
        <w:t>Provádí ho</w:t>
      </w:r>
      <w:r w:rsidR="000D417B" w:rsidRPr="000D417B">
        <w:rPr>
          <w:sz w:val="24"/>
          <w:szCs w:val="24"/>
        </w:rPr>
        <w:t xml:space="preserve"> oprávněná osoba, kterou je držitel živnostenského oprávnění v oboru kominictví.</w:t>
      </w:r>
      <w:r>
        <w:rPr>
          <w:sz w:val="24"/>
          <w:szCs w:val="24"/>
        </w:rPr>
        <w:t xml:space="preserve"> </w:t>
      </w:r>
      <w:r w:rsidR="000D417B" w:rsidRPr="000D417B">
        <w:rPr>
          <w:sz w:val="24"/>
          <w:szCs w:val="24"/>
        </w:rPr>
        <w:t>Výjimkou je čištění komínů u spotřebičů s výkonem do 50 kW včetně. Čištění komínu u těchto spotřebičů lze provádět svépomocí. Nicméně se doporučuje při čistění komínových těles obrátit na odborníky.</w:t>
      </w:r>
    </w:p>
    <w:p w14:paraId="475C804C" w14:textId="77777777" w:rsidR="00087996" w:rsidRDefault="00087996" w:rsidP="00726D2A">
      <w:pPr>
        <w:spacing w:line="240" w:lineRule="auto"/>
        <w:jc w:val="both"/>
        <w:rPr>
          <w:b/>
          <w:sz w:val="24"/>
          <w:szCs w:val="24"/>
          <w:u w:val="single"/>
        </w:rPr>
      </w:pPr>
    </w:p>
    <w:p w14:paraId="618092C9" w14:textId="043A3053" w:rsidR="000D417B" w:rsidRPr="00757162" w:rsidRDefault="000D417B" w:rsidP="00726D2A">
      <w:pPr>
        <w:spacing w:line="240" w:lineRule="auto"/>
        <w:jc w:val="both"/>
        <w:rPr>
          <w:b/>
          <w:sz w:val="24"/>
          <w:szCs w:val="24"/>
          <w:u w:val="single"/>
        </w:rPr>
      </w:pPr>
      <w:r w:rsidRPr="00757162">
        <w:rPr>
          <w:b/>
          <w:sz w:val="24"/>
          <w:szCs w:val="24"/>
          <w:u w:val="single"/>
        </w:rPr>
        <w:t>Kontrola spalinové cesty</w:t>
      </w:r>
    </w:p>
    <w:p w14:paraId="423F84A1" w14:textId="6357ABD2" w:rsidR="000D417B" w:rsidRPr="000D417B" w:rsidRDefault="009C2803" w:rsidP="00726D2A">
      <w:pPr>
        <w:spacing w:line="240" w:lineRule="auto"/>
        <w:jc w:val="both"/>
        <w:rPr>
          <w:sz w:val="24"/>
          <w:szCs w:val="24"/>
        </w:rPr>
      </w:pPr>
      <w:r>
        <w:rPr>
          <w:sz w:val="24"/>
          <w:szCs w:val="24"/>
        </w:rPr>
        <w:t>Provádí se</w:t>
      </w:r>
      <w:r w:rsidR="000D417B" w:rsidRPr="000D417B">
        <w:rPr>
          <w:sz w:val="24"/>
          <w:szCs w:val="24"/>
        </w:rPr>
        <w:t xml:space="preserve"> po jejím vyčištění posouzením:</w:t>
      </w:r>
    </w:p>
    <w:p w14:paraId="5816A846" w14:textId="77777777" w:rsidR="000D417B" w:rsidRPr="000D417B" w:rsidRDefault="000D417B" w:rsidP="00726D2A">
      <w:pPr>
        <w:pStyle w:val="Odstavecseseznamem"/>
        <w:numPr>
          <w:ilvl w:val="0"/>
          <w:numId w:val="3"/>
        </w:numPr>
        <w:spacing w:line="240" w:lineRule="auto"/>
        <w:jc w:val="both"/>
        <w:rPr>
          <w:sz w:val="24"/>
          <w:szCs w:val="24"/>
        </w:rPr>
      </w:pPr>
      <w:r w:rsidRPr="000D417B">
        <w:rPr>
          <w:sz w:val="24"/>
          <w:szCs w:val="24"/>
        </w:rPr>
        <w:t>zda stav a provedení spalinové cesty v době kontroly odpovídá technickým požadavkům, podle kterých byla navržena a provedena a bylo zahájeno její užívání,</w:t>
      </w:r>
    </w:p>
    <w:p w14:paraId="78426D5A" w14:textId="77777777" w:rsidR="000D417B" w:rsidRPr="000D417B" w:rsidRDefault="000D417B" w:rsidP="00726D2A">
      <w:pPr>
        <w:pStyle w:val="Odstavecseseznamem"/>
        <w:numPr>
          <w:ilvl w:val="0"/>
          <w:numId w:val="3"/>
        </w:numPr>
        <w:spacing w:line="240" w:lineRule="auto"/>
        <w:jc w:val="both"/>
        <w:rPr>
          <w:sz w:val="24"/>
          <w:szCs w:val="24"/>
        </w:rPr>
      </w:pPr>
      <w:r w:rsidRPr="000D417B">
        <w:rPr>
          <w:sz w:val="24"/>
          <w:szCs w:val="24"/>
        </w:rPr>
        <w:t>zda stav a provedení spalinové cesty zajistí, aby byly bezpečně odvedeny a rozptýleny do volného ovzduší spaliny od všech připojených spotřebičů,</w:t>
      </w:r>
    </w:p>
    <w:p w14:paraId="276A136D" w14:textId="77777777" w:rsidR="000D417B" w:rsidRPr="000D417B" w:rsidRDefault="000D417B" w:rsidP="00726D2A">
      <w:pPr>
        <w:pStyle w:val="Odstavecseseznamem"/>
        <w:numPr>
          <w:ilvl w:val="0"/>
          <w:numId w:val="3"/>
        </w:numPr>
        <w:spacing w:line="240" w:lineRule="auto"/>
        <w:jc w:val="both"/>
        <w:rPr>
          <w:sz w:val="24"/>
          <w:szCs w:val="24"/>
        </w:rPr>
      </w:pPr>
      <w:r w:rsidRPr="000D417B">
        <w:rPr>
          <w:sz w:val="24"/>
          <w:szCs w:val="24"/>
        </w:rPr>
        <w:t>zda je zajištěn volný a bezpečný přístup ke spalinové cestě a k jejím vybíracím, vymetacím, kontrolním, měřícím a čisticím otvorům,</w:t>
      </w:r>
    </w:p>
    <w:p w14:paraId="2B780EA5" w14:textId="77777777" w:rsidR="000D417B" w:rsidRPr="000D417B" w:rsidRDefault="000D417B" w:rsidP="00726D2A">
      <w:pPr>
        <w:pStyle w:val="Odstavecseseznamem"/>
        <w:numPr>
          <w:ilvl w:val="0"/>
          <w:numId w:val="3"/>
        </w:numPr>
        <w:spacing w:line="240" w:lineRule="auto"/>
        <w:jc w:val="both"/>
        <w:rPr>
          <w:sz w:val="24"/>
          <w:szCs w:val="24"/>
        </w:rPr>
      </w:pPr>
      <w:r w:rsidRPr="000D417B">
        <w:rPr>
          <w:sz w:val="24"/>
          <w:szCs w:val="24"/>
        </w:rPr>
        <w:lastRenderedPageBreak/>
        <w:t>zda je dodržena bezpečná vzdálenost spalinové cesty od hořlavých předmětů a stavebních hmot třídy reakce na oheň B až F,</w:t>
      </w:r>
    </w:p>
    <w:p w14:paraId="37D6A5CF" w14:textId="77777777" w:rsidR="000D417B" w:rsidRPr="000D417B" w:rsidRDefault="000D417B" w:rsidP="00726D2A">
      <w:pPr>
        <w:pStyle w:val="Odstavecseseznamem"/>
        <w:numPr>
          <w:ilvl w:val="0"/>
          <w:numId w:val="3"/>
        </w:numPr>
        <w:spacing w:line="240" w:lineRule="auto"/>
        <w:jc w:val="both"/>
        <w:rPr>
          <w:sz w:val="24"/>
          <w:szCs w:val="24"/>
        </w:rPr>
      </w:pPr>
      <w:r w:rsidRPr="000D417B">
        <w:rPr>
          <w:sz w:val="24"/>
          <w:szCs w:val="24"/>
        </w:rPr>
        <w:t>zajištění požární bezpečnosti stavby, zvláště při prostupu spalinové cesty vodorovnými a svislými stavebními konstrukcemi, půdním prostorem nebo střechou a vývodů spalin obvodovou stěnou,</w:t>
      </w:r>
    </w:p>
    <w:p w14:paraId="40A3D62F" w14:textId="7B440F74" w:rsidR="000D417B" w:rsidRPr="000D417B" w:rsidRDefault="000D417B" w:rsidP="00726D2A">
      <w:pPr>
        <w:pStyle w:val="Odstavecseseznamem"/>
        <w:numPr>
          <w:ilvl w:val="0"/>
          <w:numId w:val="3"/>
        </w:numPr>
        <w:spacing w:line="240" w:lineRule="auto"/>
        <w:jc w:val="both"/>
        <w:rPr>
          <w:sz w:val="24"/>
          <w:szCs w:val="24"/>
        </w:rPr>
      </w:pPr>
      <w:r w:rsidRPr="000D417B">
        <w:rPr>
          <w:sz w:val="24"/>
          <w:szCs w:val="24"/>
        </w:rPr>
        <w:t>nedošlo-li ke zm</w:t>
      </w:r>
      <w:r w:rsidR="00757162">
        <w:rPr>
          <w:sz w:val="24"/>
          <w:szCs w:val="24"/>
        </w:rPr>
        <w:t>ě</w:t>
      </w:r>
      <w:r w:rsidRPr="000D417B">
        <w:rPr>
          <w:sz w:val="24"/>
          <w:szCs w:val="24"/>
        </w:rPr>
        <w:t>ně jejího stavebně technického stavu,</w:t>
      </w:r>
    </w:p>
    <w:p w14:paraId="685C96B3" w14:textId="77777777" w:rsidR="000D417B" w:rsidRPr="000D417B" w:rsidRDefault="000D417B" w:rsidP="00726D2A">
      <w:pPr>
        <w:pStyle w:val="Odstavecseseznamem"/>
        <w:numPr>
          <w:ilvl w:val="0"/>
          <w:numId w:val="3"/>
        </w:numPr>
        <w:spacing w:line="240" w:lineRule="auto"/>
        <w:jc w:val="both"/>
        <w:rPr>
          <w:sz w:val="24"/>
          <w:szCs w:val="24"/>
        </w:rPr>
      </w:pPr>
      <w:r w:rsidRPr="000D417B">
        <w:rPr>
          <w:sz w:val="24"/>
          <w:szCs w:val="24"/>
        </w:rPr>
        <w:t>zda nedošlo k zásadním změnám oproti stavu zjištěnému při minulé kontrole nebo revizi.</w:t>
      </w:r>
    </w:p>
    <w:p w14:paraId="41EE69A4" w14:textId="7D11CCDF" w:rsidR="009C2803" w:rsidRPr="00757162" w:rsidRDefault="000D417B" w:rsidP="00726D2A">
      <w:pPr>
        <w:spacing w:line="240" w:lineRule="auto"/>
        <w:jc w:val="both"/>
        <w:rPr>
          <w:sz w:val="24"/>
          <w:szCs w:val="24"/>
        </w:rPr>
      </w:pPr>
      <w:r w:rsidRPr="000D417B">
        <w:rPr>
          <w:sz w:val="24"/>
          <w:szCs w:val="24"/>
        </w:rPr>
        <w:t>Kontrolu spalinové cesty provádí oprávněná osoba, kterou je držitel živnostenského oprávnění v oboru kominictví.</w:t>
      </w:r>
    </w:p>
    <w:tbl>
      <w:tblPr>
        <w:tblpPr w:leftFromText="45" w:rightFromText="45" w:bottomFromText="600" w:vertAnchor="text"/>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23"/>
        <w:gridCol w:w="1373"/>
        <w:gridCol w:w="1441"/>
        <w:gridCol w:w="1125"/>
        <w:gridCol w:w="1206"/>
        <w:gridCol w:w="1092"/>
        <w:gridCol w:w="1098"/>
      </w:tblGrid>
      <w:tr w:rsidR="000D417B" w:rsidRPr="000D417B" w14:paraId="3F30D6F2" w14:textId="77777777" w:rsidTr="00726D2A">
        <w:trPr>
          <w:trHeight w:val="213"/>
        </w:trPr>
        <w:tc>
          <w:tcPr>
            <w:tcW w:w="1423" w:type="dxa"/>
            <w:vMerge w:val="restart"/>
            <w:shd w:val="clear" w:color="auto" w:fill="555555"/>
            <w:tcMar>
              <w:top w:w="105" w:type="dxa"/>
              <w:left w:w="225" w:type="dxa"/>
              <w:bottom w:w="105" w:type="dxa"/>
              <w:right w:w="225" w:type="dxa"/>
            </w:tcMar>
            <w:hideMark/>
          </w:tcPr>
          <w:p w14:paraId="180FC42C" w14:textId="77777777" w:rsidR="000D417B" w:rsidRPr="000D417B" w:rsidRDefault="000D417B" w:rsidP="00726D2A">
            <w:pPr>
              <w:spacing w:after="0" w:line="240" w:lineRule="auto"/>
              <w:jc w:val="center"/>
              <w:rPr>
                <w:rFonts w:ascii="Arial CE" w:eastAsia="Times New Roman" w:hAnsi="Arial CE" w:cs="Arial CE"/>
                <w:color w:val="FFFFFF"/>
                <w:sz w:val="17"/>
                <w:szCs w:val="17"/>
                <w:lang w:eastAsia="cs-CZ"/>
              </w:rPr>
            </w:pPr>
            <w:r w:rsidRPr="000D417B">
              <w:rPr>
                <w:rFonts w:ascii="Arial CE" w:eastAsia="Times New Roman" w:hAnsi="Arial CE" w:cs="Arial CE"/>
                <w:b/>
                <w:bCs/>
                <w:color w:val="FFFFFF"/>
                <w:sz w:val="17"/>
                <w:szCs w:val="17"/>
                <w:lang w:eastAsia="cs-CZ"/>
              </w:rPr>
              <w:t>Výkon připojeného spotřebiče paliv</w:t>
            </w:r>
          </w:p>
        </w:tc>
        <w:tc>
          <w:tcPr>
            <w:tcW w:w="1373" w:type="dxa"/>
            <w:vMerge w:val="restart"/>
            <w:shd w:val="clear" w:color="auto" w:fill="555555"/>
            <w:tcMar>
              <w:top w:w="105" w:type="dxa"/>
              <w:left w:w="225" w:type="dxa"/>
              <w:bottom w:w="105" w:type="dxa"/>
              <w:right w:w="225" w:type="dxa"/>
            </w:tcMar>
            <w:hideMark/>
          </w:tcPr>
          <w:p w14:paraId="2FE58348" w14:textId="77777777" w:rsidR="000D417B" w:rsidRPr="000D417B" w:rsidRDefault="000D417B" w:rsidP="00726D2A">
            <w:pPr>
              <w:spacing w:after="0" w:line="240" w:lineRule="auto"/>
              <w:jc w:val="center"/>
              <w:rPr>
                <w:rFonts w:ascii="Arial CE" w:eastAsia="Times New Roman" w:hAnsi="Arial CE" w:cs="Arial CE"/>
                <w:color w:val="FFFFFF"/>
                <w:sz w:val="17"/>
                <w:szCs w:val="17"/>
                <w:lang w:eastAsia="cs-CZ"/>
              </w:rPr>
            </w:pPr>
            <w:r w:rsidRPr="000D417B">
              <w:rPr>
                <w:rFonts w:ascii="Arial CE" w:eastAsia="Times New Roman" w:hAnsi="Arial CE" w:cs="Arial CE"/>
                <w:b/>
                <w:bCs/>
                <w:color w:val="FFFFFF"/>
                <w:sz w:val="17"/>
                <w:szCs w:val="17"/>
                <w:lang w:eastAsia="cs-CZ"/>
              </w:rPr>
              <w:t>Činnost</w:t>
            </w:r>
          </w:p>
        </w:tc>
        <w:tc>
          <w:tcPr>
            <w:tcW w:w="5962" w:type="dxa"/>
            <w:gridSpan w:val="5"/>
            <w:shd w:val="clear" w:color="auto" w:fill="555555"/>
            <w:tcMar>
              <w:top w:w="105" w:type="dxa"/>
              <w:left w:w="225" w:type="dxa"/>
              <w:bottom w:w="105" w:type="dxa"/>
              <w:right w:w="225" w:type="dxa"/>
            </w:tcMar>
            <w:hideMark/>
          </w:tcPr>
          <w:p w14:paraId="12EA3CF2" w14:textId="77777777" w:rsidR="000D417B" w:rsidRPr="000D417B" w:rsidRDefault="000D417B" w:rsidP="00726D2A">
            <w:pPr>
              <w:spacing w:after="0" w:line="240" w:lineRule="auto"/>
              <w:jc w:val="center"/>
              <w:rPr>
                <w:rFonts w:ascii="Arial CE" w:eastAsia="Times New Roman" w:hAnsi="Arial CE" w:cs="Arial CE"/>
                <w:color w:val="FFFFFF"/>
                <w:sz w:val="17"/>
                <w:szCs w:val="17"/>
                <w:lang w:eastAsia="cs-CZ"/>
              </w:rPr>
            </w:pPr>
            <w:r w:rsidRPr="000D417B">
              <w:rPr>
                <w:rFonts w:ascii="Arial CE" w:eastAsia="Times New Roman" w:hAnsi="Arial CE" w:cs="Arial CE"/>
                <w:b/>
                <w:bCs/>
                <w:color w:val="FFFFFF"/>
                <w:sz w:val="17"/>
                <w:szCs w:val="17"/>
                <w:lang w:eastAsia="cs-CZ"/>
              </w:rPr>
              <w:t>Druh paliva připojeného spotřebiče paliv</w:t>
            </w:r>
          </w:p>
        </w:tc>
      </w:tr>
      <w:tr w:rsidR="00C01464" w:rsidRPr="000D417B" w14:paraId="25734554" w14:textId="77777777" w:rsidTr="00757162">
        <w:trPr>
          <w:trHeight w:val="241"/>
        </w:trPr>
        <w:tc>
          <w:tcPr>
            <w:tcW w:w="1423" w:type="dxa"/>
            <w:vMerge/>
            <w:shd w:val="clear" w:color="auto" w:fill="FFFFFF"/>
            <w:vAlign w:val="center"/>
            <w:hideMark/>
          </w:tcPr>
          <w:p w14:paraId="4FB2E33F" w14:textId="77777777" w:rsidR="000D417B" w:rsidRPr="000D417B" w:rsidRDefault="000D417B" w:rsidP="00726D2A">
            <w:pPr>
              <w:spacing w:after="0" w:line="240" w:lineRule="auto"/>
              <w:jc w:val="both"/>
              <w:rPr>
                <w:rFonts w:ascii="Arial CE" w:eastAsia="Times New Roman" w:hAnsi="Arial CE" w:cs="Arial CE"/>
                <w:color w:val="FFFFFF"/>
                <w:sz w:val="17"/>
                <w:szCs w:val="17"/>
                <w:lang w:eastAsia="cs-CZ"/>
              </w:rPr>
            </w:pPr>
          </w:p>
        </w:tc>
        <w:tc>
          <w:tcPr>
            <w:tcW w:w="1373" w:type="dxa"/>
            <w:vMerge/>
            <w:shd w:val="clear" w:color="auto" w:fill="FFFFFF"/>
            <w:vAlign w:val="center"/>
            <w:hideMark/>
          </w:tcPr>
          <w:p w14:paraId="1CC4BFDB" w14:textId="77777777" w:rsidR="000D417B" w:rsidRPr="000D417B" w:rsidRDefault="000D417B" w:rsidP="00726D2A">
            <w:pPr>
              <w:spacing w:after="0" w:line="240" w:lineRule="auto"/>
              <w:jc w:val="both"/>
              <w:rPr>
                <w:rFonts w:ascii="Arial CE" w:eastAsia="Times New Roman" w:hAnsi="Arial CE" w:cs="Arial CE"/>
                <w:color w:val="FFFFFF"/>
                <w:sz w:val="17"/>
                <w:szCs w:val="17"/>
                <w:lang w:eastAsia="cs-CZ"/>
              </w:rPr>
            </w:pPr>
          </w:p>
        </w:tc>
        <w:tc>
          <w:tcPr>
            <w:tcW w:w="2566" w:type="dxa"/>
            <w:gridSpan w:val="2"/>
            <w:shd w:val="clear" w:color="auto" w:fill="FFFFFF"/>
            <w:tcMar>
              <w:top w:w="165" w:type="dxa"/>
              <w:left w:w="225" w:type="dxa"/>
              <w:bottom w:w="105" w:type="dxa"/>
              <w:right w:w="225" w:type="dxa"/>
            </w:tcMar>
            <w:hideMark/>
          </w:tcPr>
          <w:p w14:paraId="4300F17A" w14:textId="77777777" w:rsidR="000D417B" w:rsidRPr="000D417B" w:rsidRDefault="000D417B" w:rsidP="00726D2A">
            <w:pPr>
              <w:spacing w:after="0"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b/>
                <w:bCs/>
                <w:color w:val="4F4F4F"/>
                <w:sz w:val="17"/>
                <w:szCs w:val="17"/>
                <w:lang w:eastAsia="cs-CZ"/>
              </w:rPr>
              <w:t>pevné</w:t>
            </w:r>
          </w:p>
        </w:tc>
        <w:tc>
          <w:tcPr>
            <w:tcW w:w="2298" w:type="dxa"/>
            <w:gridSpan w:val="2"/>
            <w:shd w:val="clear" w:color="auto" w:fill="FFFFFF"/>
            <w:tcMar>
              <w:top w:w="165" w:type="dxa"/>
              <w:left w:w="225" w:type="dxa"/>
              <w:bottom w:w="105" w:type="dxa"/>
              <w:right w:w="225" w:type="dxa"/>
            </w:tcMar>
            <w:hideMark/>
          </w:tcPr>
          <w:p w14:paraId="163CA2A6" w14:textId="77777777" w:rsidR="000D417B" w:rsidRPr="000D417B" w:rsidRDefault="000D417B" w:rsidP="00726D2A">
            <w:pPr>
              <w:spacing w:after="0"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b/>
                <w:bCs/>
                <w:color w:val="4F4F4F"/>
                <w:sz w:val="17"/>
                <w:szCs w:val="17"/>
                <w:lang w:eastAsia="cs-CZ"/>
              </w:rPr>
              <w:t>kapalné</w:t>
            </w:r>
          </w:p>
        </w:tc>
        <w:tc>
          <w:tcPr>
            <w:tcW w:w="1098" w:type="dxa"/>
            <w:vMerge w:val="restart"/>
            <w:shd w:val="clear" w:color="auto" w:fill="FFFFFF"/>
            <w:tcMar>
              <w:top w:w="165" w:type="dxa"/>
              <w:left w:w="225" w:type="dxa"/>
              <w:bottom w:w="105" w:type="dxa"/>
              <w:right w:w="225" w:type="dxa"/>
            </w:tcMar>
            <w:hideMark/>
          </w:tcPr>
          <w:p w14:paraId="2F387F2A" w14:textId="77777777" w:rsidR="000D417B" w:rsidRPr="000D417B" w:rsidRDefault="000D417B" w:rsidP="00726D2A">
            <w:pPr>
              <w:spacing w:after="0"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b/>
                <w:bCs/>
                <w:color w:val="4F4F4F"/>
                <w:sz w:val="17"/>
                <w:szCs w:val="17"/>
                <w:lang w:eastAsia="cs-CZ"/>
              </w:rPr>
              <w:t>Plynné</w:t>
            </w:r>
          </w:p>
        </w:tc>
      </w:tr>
      <w:tr w:rsidR="009C2803" w:rsidRPr="000D417B" w14:paraId="52A3FDA0" w14:textId="77777777" w:rsidTr="00726D2A">
        <w:trPr>
          <w:trHeight w:val="395"/>
        </w:trPr>
        <w:tc>
          <w:tcPr>
            <w:tcW w:w="1423" w:type="dxa"/>
            <w:vMerge/>
            <w:shd w:val="clear" w:color="auto" w:fill="FFFFFF"/>
            <w:vAlign w:val="center"/>
            <w:hideMark/>
          </w:tcPr>
          <w:p w14:paraId="52375D8A" w14:textId="77777777" w:rsidR="000D417B" w:rsidRPr="000D417B" w:rsidRDefault="000D417B" w:rsidP="00726D2A">
            <w:pPr>
              <w:spacing w:after="0" w:line="240" w:lineRule="auto"/>
              <w:jc w:val="both"/>
              <w:rPr>
                <w:rFonts w:ascii="Arial CE" w:eastAsia="Times New Roman" w:hAnsi="Arial CE" w:cs="Arial CE"/>
                <w:color w:val="FFFFFF"/>
                <w:sz w:val="17"/>
                <w:szCs w:val="17"/>
                <w:lang w:eastAsia="cs-CZ"/>
              </w:rPr>
            </w:pPr>
          </w:p>
        </w:tc>
        <w:tc>
          <w:tcPr>
            <w:tcW w:w="1373" w:type="dxa"/>
            <w:vMerge/>
            <w:shd w:val="clear" w:color="auto" w:fill="FFFFFF"/>
            <w:vAlign w:val="center"/>
            <w:hideMark/>
          </w:tcPr>
          <w:p w14:paraId="310C4F8D" w14:textId="77777777" w:rsidR="000D417B" w:rsidRPr="000D417B" w:rsidRDefault="000D417B" w:rsidP="00726D2A">
            <w:pPr>
              <w:spacing w:after="0" w:line="240" w:lineRule="auto"/>
              <w:jc w:val="both"/>
              <w:rPr>
                <w:rFonts w:ascii="Arial CE" w:eastAsia="Times New Roman" w:hAnsi="Arial CE" w:cs="Arial CE"/>
                <w:color w:val="FFFFFF"/>
                <w:sz w:val="17"/>
                <w:szCs w:val="17"/>
                <w:lang w:eastAsia="cs-CZ"/>
              </w:rPr>
            </w:pPr>
          </w:p>
        </w:tc>
        <w:tc>
          <w:tcPr>
            <w:tcW w:w="1441" w:type="dxa"/>
            <w:shd w:val="clear" w:color="auto" w:fill="EEEEEE"/>
            <w:tcMar>
              <w:top w:w="165" w:type="dxa"/>
              <w:left w:w="225" w:type="dxa"/>
              <w:bottom w:w="105" w:type="dxa"/>
              <w:right w:w="225" w:type="dxa"/>
            </w:tcMar>
            <w:hideMark/>
          </w:tcPr>
          <w:p w14:paraId="40549496" w14:textId="77777777" w:rsidR="000D417B" w:rsidRPr="000D417B" w:rsidRDefault="000D417B" w:rsidP="00726D2A">
            <w:pPr>
              <w:spacing w:after="0"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b/>
                <w:bCs/>
                <w:color w:val="4F4F4F"/>
                <w:sz w:val="17"/>
                <w:szCs w:val="17"/>
                <w:lang w:eastAsia="cs-CZ"/>
              </w:rPr>
              <w:t>celoroční provoz</w:t>
            </w:r>
          </w:p>
        </w:tc>
        <w:tc>
          <w:tcPr>
            <w:tcW w:w="1125" w:type="dxa"/>
            <w:shd w:val="clear" w:color="auto" w:fill="EEEEEE"/>
            <w:tcMar>
              <w:top w:w="165" w:type="dxa"/>
              <w:left w:w="225" w:type="dxa"/>
              <w:bottom w:w="105" w:type="dxa"/>
              <w:right w:w="225" w:type="dxa"/>
            </w:tcMar>
            <w:hideMark/>
          </w:tcPr>
          <w:p w14:paraId="07D51975" w14:textId="77777777" w:rsidR="000D417B" w:rsidRPr="000D417B" w:rsidRDefault="000D417B" w:rsidP="00726D2A">
            <w:pPr>
              <w:spacing w:after="0"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b/>
                <w:bCs/>
                <w:color w:val="4F4F4F"/>
                <w:sz w:val="17"/>
                <w:szCs w:val="17"/>
                <w:lang w:eastAsia="cs-CZ"/>
              </w:rPr>
              <w:t>sezónní provoz</w:t>
            </w:r>
          </w:p>
        </w:tc>
        <w:tc>
          <w:tcPr>
            <w:tcW w:w="1206" w:type="dxa"/>
            <w:shd w:val="clear" w:color="auto" w:fill="EEEEEE"/>
            <w:tcMar>
              <w:top w:w="165" w:type="dxa"/>
              <w:left w:w="225" w:type="dxa"/>
              <w:bottom w:w="105" w:type="dxa"/>
              <w:right w:w="225" w:type="dxa"/>
            </w:tcMar>
            <w:hideMark/>
          </w:tcPr>
          <w:p w14:paraId="153E649D" w14:textId="77777777" w:rsidR="000D417B" w:rsidRPr="000D417B" w:rsidRDefault="000D417B" w:rsidP="00726D2A">
            <w:pPr>
              <w:spacing w:after="0"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b/>
                <w:bCs/>
                <w:color w:val="4F4F4F"/>
                <w:sz w:val="17"/>
                <w:szCs w:val="17"/>
                <w:lang w:eastAsia="cs-CZ"/>
              </w:rPr>
              <w:t>celoroční provoz</w:t>
            </w:r>
          </w:p>
        </w:tc>
        <w:tc>
          <w:tcPr>
            <w:tcW w:w="1092" w:type="dxa"/>
            <w:shd w:val="clear" w:color="auto" w:fill="EEEEEE"/>
            <w:tcMar>
              <w:top w:w="165" w:type="dxa"/>
              <w:left w:w="225" w:type="dxa"/>
              <w:bottom w:w="105" w:type="dxa"/>
              <w:right w:w="225" w:type="dxa"/>
            </w:tcMar>
            <w:hideMark/>
          </w:tcPr>
          <w:p w14:paraId="15A69CFA" w14:textId="77777777" w:rsidR="000D417B" w:rsidRPr="000D417B" w:rsidRDefault="000D417B" w:rsidP="00726D2A">
            <w:pPr>
              <w:spacing w:after="0"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b/>
                <w:bCs/>
                <w:color w:val="4F4F4F"/>
                <w:sz w:val="17"/>
                <w:szCs w:val="17"/>
                <w:lang w:eastAsia="cs-CZ"/>
              </w:rPr>
              <w:t>sezónní provoz</w:t>
            </w:r>
          </w:p>
        </w:tc>
        <w:tc>
          <w:tcPr>
            <w:tcW w:w="0" w:type="auto"/>
            <w:vMerge/>
            <w:shd w:val="clear" w:color="auto" w:fill="FFFFFF"/>
            <w:vAlign w:val="center"/>
            <w:hideMark/>
          </w:tcPr>
          <w:p w14:paraId="33E0D04E" w14:textId="77777777" w:rsidR="000D417B" w:rsidRPr="000D417B" w:rsidRDefault="000D417B" w:rsidP="00726D2A">
            <w:pPr>
              <w:spacing w:after="0" w:line="240" w:lineRule="auto"/>
              <w:jc w:val="both"/>
              <w:rPr>
                <w:rFonts w:ascii="Arial CE" w:eastAsia="Times New Roman" w:hAnsi="Arial CE" w:cs="Arial CE"/>
                <w:color w:val="4F4F4F"/>
                <w:sz w:val="17"/>
                <w:szCs w:val="17"/>
                <w:lang w:eastAsia="cs-CZ"/>
              </w:rPr>
            </w:pPr>
          </w:p>
        </w:tc>
      </w:tr>
      <w:tr w:rsidR="009C2803" w:rsidRPr="000D417B" w14:paraId="2E50D229" w14:textId="77777777" w:rsidTr="00757162">
        <w:trPr>
          <w:trHeight w:val="598"/>
        </w:trPr>
        <w:tc>
          <w:tcPr>
            <w:tcW w:w="1423" w:type="dxa"/>
            <w:vMerge w:val="restart"/>
            <w:shd w:val="clear" w:color="auto" w:fill="FFFFFF"/>
            <w:tcMar>
              <w:top w:w="165" w:type="dxa"/>
              <w:left w:w="225" w:type="dxa"/>
              <w:bottom w:w="105" w:type="dxa"/>
              <w:right w:w="225" w:type="dxa"/>
            </w:tcMar>
            <w:hideMark/>
          </w:tcPr>
          <w:p w14:paraId="7845D34A"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do 50 kW včetně</w:t>
            </w:r>
          </w:p>
        </w:tc>
        <w:tc>
          <w:tcPr>
            <w:tcW w:w="1373" w:type="dxa"/>
            <w:shd w:val="clear" w:color="auto" w:fill="FFFFFF"/>
            <w:tcMar>
              <w:top w:w="165" w:type="dxa"/>
              <w:left w:w="225" w:type="dxa"/>
              <w:bottom w:w="105" w:type="dxa"/>
              <w:right w:w="225" w:type="dxa"/>
            </w:tcMar>
            <w:hideMark/>
          </w:tcPr>
          <w:p w14:paraId="29C7BADD"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čištění spalinové cesty</w:t>
            </w:r>
          </w:p>
        </w:tc>
        <w:tc>
          <w:tcPr>
            <w:tcW w:w="1441" w:type="dxa"/>
            <w:shd w:val="clear" w:color="auto" w:fill="FFFFFF"/>
            <w:tcMar>
              <w:top w:w="165" w:type="dxa"/>
              <w:left w:w="225" w:type="dxa"/>
              <w:bottom w:w="105" w:type="dxa"/>
              <w:right w:w="225" w:type="dxa"/>
            </w:tcMar>
            <w:hideMark/>
          </w:tcPr>
          <w:p w14:paraId="6E588939"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3 x za rok</w:t>
            </w:r>
          </w:p>
        </w:tc>
        <w:tc>
          <w:tcPr>
            <w:tcW w:w="1125" w:type="dxa"/>
            <w:shd w:val="clear" w:color="auto" w:fill="FFFFFF"/>
            <w:tcMar>
              <w:top w:w="165" w:type="dxa"/>
              <w:left w:w="225" w:type="dxa"/>
              <w:bottom w:w="105" w:type="dxa"/>
              <w:right w:w="225" w:type="dxa"/>
            </w:tcMar>
            <w:hideMark/>
          </w:tcPr>
          <w:p w14:paraId="559540D9"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2 x za rok</w:t>
            </w:r>
          </w:p>
        </w:tc>
        <w:tc>
          <w:tcPr>
            <w:tcW w:w="1206" w:type="dxa"/>
            <w:shd w:val="clear" w:color="auto" w:fill="FFFFFF"/>
            <w:tcMar>
              <w:top w:w="165" w:type="dxa"/>
              <w:left w:w="225" w:type="dxa"/>
              <w:bottom w:w="105" w:type="dxa"/>
              <w:right w:w="225" w:type="dxa"/>
            </w:tcMar>
            <w:hideMark/>
          </w:tcPr>
          <w:p w14:paraId="59E5A976"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2 x za rok</w:t>
            </w:r>
          </w:p>
        </w:tc>
        <w:tc>
          <w:tcPr>
            <w:tcW w:w="1092" w:type="dxa"/>
            <w:shd w:val="clear" w:color="auto" w:fill="FFFFFF"/>
            <w:tcMar>
              <w:top w:w="165" w:type="dxa"/>
              <w:left w:w="225" w:type="dxa"/>
              <w:bottom w:w="105" w:type="dxa"/>
              <w:right w:w="225" w:type="dxa"/>
            </w:tcMar>
            <w:hideMark/>
          </w:tcPr>
          <w:p w14:paraId="5AA2EB88"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1 x za rok</w:t>
            </w:r>
          </w:p>
        </w:tc>
        <w:tc>
          <w:tcPr>
            <w:tcW w:w="1098" w:type="dxa"/>
            <w:shd w:val="clear" w:color="auto" w:fill="FFFFFF"/>
            <w:tcMar>
              <w:top w:w="165" w:type="dxa"/>
              <w:left w:w="225" w:type="dxa"/>
              <w:bottom w:w="105" w:type="dxa"/>
              <w:right w:w="225" w:type="dxa"/>
            </w:tcMar>
            <w:hideMark/>
          </w:tcPr>
          <w:p w14:paraId="3732AE2D"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1 x za rok</w:t>
            </w:r>
          </w:p>
        </w:tc>
      </w:tr>
      <w:tr w:rsidR="00C01464" w:rsidRPr="000D417B" w14:paraId="2858FD6B" w14:textId="77777777" w:rsidTr="00757162">
        <w:trPr>
          <w:trHeight w:val="602"/>
        </w:trPr>
        <w:tc>
          <w:tcPr>
            <w:tcW w:w="1423" w:type="dxa"/>
            <w:vMerge/>
            <w:shd w:val="clear" w:color="auto" w:fill="FFFFFF"/>
            <w:vAlign w:val="center"/>
            <w:hideMark/>
          </w:tcPr>
          <w:p w14:paraId="6D9B3241" w14:textId="77777777" w:rsidR="000D417B" w:rsidRPr="000D417B" w:rsidRDefault="000D417B" w:rsidP="00726D2A">
            <w:pPr>
              <w:spacing w:after="0" w:line="240" w:lineRule="auto"/>
              <w:jc w:val="both"/>
              <w:rPr>
                <w:rFonts w:ascii="Arial CE" w:eastAsia="Times New Roman" w:hAnsi="Arial CE" w:cs="Arial CE"/>
                <w:color w:val="4F4F4F"/>
                <w:sz w:val="17"/>
                <w:szCs w:val="17"/>
                <w:lang w:eastAsia="cs-CZ"/>
              </w:rPr>
            </w:pPr>
          </w:p>
        </w:tc>
        <w:tc>
          <w:tcPr>
            <w:tcW w:w="1373" w:type="dxa"/>
            <w:shd w:val="clear" w:color="auto" w:fill="EEEEEE"/>
            <w:tcMar>
              <w:top w:w="165" w:type="dxa"/>
              <w:left w:w="225" w:type="dxa"/>
              <w:bottom w:w="105" w:type="dxa"/>
              <w:right w:w="225" w:type="dxa"/>
            </w:tcMar>
            <w:hideMark/>
          </w:tcPr>
          <w:p w14:paraId="75E3CCC3"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kontrola spalinové cesty</w:t>
            </w:r>
          </w:p>
        </w:tc>
        <w:tc>
          <w:tcPr>
            <w:tcW w:w="2566" w:type="dxa"/>
            <w:gridSpan w:val="2"/>
            <w:shd w:val="clear" w:color="auto" w:fill="EEEEEE"/>
            <w:tcMar>
              <w:top w:w="165" w:type="dxa"/>
              <w:left w:w="225" w:type="dxa"/>
              <w:bottom w:w="105" w:type="dxa"/>
              <w:right w:w="225" w:type="dxa"/>
            </w:tcMar>
            <w:hideMark/>
          </w:tcPr>
          <w:p w14:paraId="3F335D6F"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1 x za rok</w:t>
            </w:r>
          </w:p>
        </w:tc>
        <w:tc>
          <w:tcPr>
            <w:tcW w:w="2298" w:type="dxa"/>
            <w:gridSpan w:val="2"/>
            <w:shd w:val="clear" w:color="auto" w:fill="EEEEEE"/>
            <w:tcMar>
              <w:top w:w="165" w:type="dxa"/>
              <w:left w:w="225" w:type="dxa"/>
              <w:bottom w:w="105" w:type="dxa"/>
              <w:right w:w="225" w:type="dxa"/>
            </w:tcMar>
            <w:hideMark/>
          </w:tcPr>
          <w:p w14:paraId="30944A42"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1 x za rok</w:t>
            </w:r>
          </w:p>
        </w:tc>
        <w:tc>
          <w:tcPr>
            <w:tcW w:w="1098" w:type="dxa"/>
            <w:shd w:val="clear" w:color="auto" w:fill="EEEEEE"/>
            <w:tcMar>
              <w:top w:w="165" w:type="dxa"/>
              <w:left w:w="225" w:type="dxa"/>
              <w:bottom w:w="105" w:type="dxa"/>
              <w:right w:w="225" w:type="dxa"/>
            </w:tcMar>
            <w:hideMark/>
          </w:tcPr>
          <w:p w14:paraId="43F1A523"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1 x za rok</w:t>
            </w:r>
          </w:p>
        </w:tc>
      </w:tr>
      <w:tr w:rsidR="009C2803" w:rsidRPr="000D417B" w14:paraId="33390E5F" w14:textId="77777777" w:rsidTr="00726D2A">
        <w:trPr>
          <w:trHeight w:val="31"/>
        </w:trPr>
        <w:tc>
          <w:tcPr>
            <w:tcW w:w="1423" w:type="dxa"/>
            <w:tcBorders>
              <w:bottom w:val="single" w:sz="4" w:space="0" w:color="auto"/>
            </w:tcBorders>
            <w:shd w:val="clear" w:color="auto" w:fill="FFFFFF"/>
            <w:tcMar>
              <w:top w:w="165" w:type="dxa"/>
              <w:left w:w="225" w:type="dxa"/>
              <w:bottom w:w="105" w:type="dxa"/>
              <w:right w:w="225" w:type="dxa"/>
            </w:tcMar>
            <w:hideMark/>
          </w:tcPr>
          <w:p w14:paraId="78FEB335"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nad 50 kW</w:t>
            </w:r>
          </w:p>
        </w:tc>
        <w:tc>
          <w:tcPr>
            <w:tcW w:w="1373" w:type="dxa"/>
            <w:tcBorders>
              <w:bottom w:val="single" w:sz="4" w:space="0" w:color="auto"/>
            </w:tcBorders>
            <w:shd w:val="clear" w:color="auto" w:fill="FFFFFF"/>
            <w:tcMar>
              <w:top w:w="165" w:type="dxa"/>
              <w:left w:w="225" w:type="dxa"/>
              <w:bottom w:w="105" w:type="dxa"/>
              <w:right w:w="225" w:type="dxa"/>
            </w:tcMar>
            <w:hideMark/>
          </w:tcPr>
          <w:p w14:paraId="5E2DE114"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čištění a kontrola spalinové cesty</w:t>
            </w:r>
          </w:p>
        </w:tc>
        <w:tc>
          <w:tcPr>
            <w:tcW w:w="2566" w:type="dxa"/>
            <w:gridSpan w:val="2"/>
            <w:tcBorders>
              <w:bottom w:val="single" w:sz="4" w:space="0" w:color="auto"/>
            </w:tcBorders>
            <w:shd w:val="clear" w:color="auto" w:fill="FFFFFF"/>
            <w:tcMar>
              <w:top w:w="165" w:type="dxa"/>
              <w:left w:w="225" w:type="dxa"/>
              <w:bottom w:w="105" w:type="dxa"/>
              <w:right w:w="225" w:type="dxa"/>
            </w:tcMar>
            <w:hideMark/>
          </w:tcPr>
          <w:p w14:paraId="21209A9A"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2 x za rok</w:t>
            </w:r>
          </w:p>
        </w:tc>
        <w:tc>
          <w:tcPr>
            <w:tcW w:w="2298" w:type="dxa"/>
            <w:gridSpan w:val="2"/>
            <w:tcBorders>
              <w:bottom w:val="single" w:sz="4" w:space="0" w:color="auto"/>
            </w:tcBorders>
            <w:shd w:val="clear" w:color="auto" w:fill="FFFFFF"/>
            <w:tcMar>
              <w:top w:w="165" w:type="dxa"/>
              <w:left w:w="225" w:type="dxa"/>
              <w:bottom w:w="105" w:type="dxa"/>
              <w:right w:w="225" w:type="dxa"/>
            </w:tcMar>
            <w:hideMark/>
          </w:tcPr>
          <w:p w14:paraId="7AD7D3B8"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1 x za rok</w:t>
            </w:r>
          </w:p>
        </w:tc>
        <w:tc>
          <w:tcPr>
            <w:tcW w:w="1098" w:type="dxa"/>
            <w:tcBorders>
              <w:bottom w:val="single" w:sz="4" w:space="0" w:color="auto"/>
            </w:tcBorders>
            <w:shd w:val="clear" w:color="auto" w:fill="FFFFFF"/>
            <w:tcMar>
              <w:top w:w="165" w:type="dxa"/>
              <w:left w:w="225" w:type="dxa"/>
              <w:bottom w:w="105" w:type="dxa"/>
              <w:right w:w="225" w:type="dxa"/>
            </w:tcMar>
            <w:hideMark/>
          </w:tcPr>
          <w:p w14:paraId="44E22883"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1 x za rok</w:t>
            </w:r>
          </w:p>
        </w:tc>
      </w:tr>
      <w:tr w:rsidR="00C01464" w:rsidRPr="000D417B" w14:paraId="4390150F" w14:textId="77777777" w:rsidTr="00C91E29">
        <w:trPr>
          <w:trHeight w:val="31"/>
        </w:trPr>
        <w:tc>
          <w:tcPr>
            <w:tcW w:w="8758" w:type="dxa"/>
            <w:gridSpan w:val="7"/>
            <w:tcBorders>
              <w:left w:val="nil"/>
              <w:bottom w:val="nil"/>
              <w:right w:val="nil"/>
            </w:tcBorders>
            <w:shd w:val="clear" w:color="auto" w:fill="FFFFFF"/>
            <w:tcMar>
              <w:top w:w="165" w:type="dxa"/>
              <w:left w:w="225" w:type="dxa"/>
              <w:bottom w:w="105" w:type="dxa"/>
              <w:right w:w="225" w:type="dxa"/>
            </w:tcMar>
          </w:tcPr>
          <w:p w14:paraId="51ABB6C9" w14:textId="3CBA9836" w:rsidR="00C01464" w:rsidRPr="00CE06D8" w:rsidRDefault="00C01464" w:rsidP="00726D2A">
            <w:pPr>
              <w:spacing w:line="240" w:lineRule="auto"/>
              <w:jc w:val="center"/>
              <w:rPr>
                <w:sz w:val="24"/>
                <w:szCs w:val="24"/>
              </w:rPr>
            </w:pPr>
            <w:r>
              <w:rPr>
                <w:sz w:val="24"/>
                <w:szCs w:val="24"/>
              </w:rPr>
              <w:t xml:space="preserve">Tabulka 3 Četnost provádění kontrol a čištění spalinových cest dle </w:t>
            </w:r>
            <w:r w:rsidRPr="000D417B">
              <w:rPr>
                <w:sz w:val="24"/>
                <w:szCs w:val="24"/>
              </w:rPr>
              <w:t>vyhlášk</w:t>
            </w:r>
            <w:r>
              <w:rPr>
                <w:sz w:val="24"/>
                <w:szCs w:val="24"/>
              </w:rPr>
              <w:t>y</w:t>
            </w:r>
            <w:r w:rsidRPr="000D417B">
              <w:rPr>
                <w:sz w:val="24"/>
                <w:szCs w:val="24"/>
              </w:rPr>
              <w:t xml:space="preserve"> č. 34/2016 Sb., o čištění, kontrole a revizi spalinové cesty</w:t>
            </w:r>
          </w:p>
        </w:tc>
      </w:tr>
    </w:tbl>
    <w:p w14:paraId="6AEB7F09" w14:textId="49E3F0CF" w:rsidR="00726D2A" w:rsidRPr="00B901E5" w:rsidRDefault="00726D2A" w:rsidP="00087996">
      <w:pPr>
        <w:pStyle w:val="Odstavecseseznamem"/>
        <w:numPr>
          <w:ilvl w:val="0"/>
          <w:numId w:val="5"/>
        </w:numPr>
        <w:spacing w:after="0" w:line="240" w:lineRule="auto"/>
        <w:ind w:left="714" w:hanging="357"/>
        <w:rPr>
          <w:sz w:val="24"/>
          <w:szCs w:val="24"/>
        </w:rPr>
      </w:pPr>
      <w:r w:rsidRPr="00B901E5">
        <w:rPr>
          <w:sz w:val="24"/>
          <w:szCs w:val="24"/>
        </w:rPr>
        <w:t>Za sezónní provoz se považuje provoz spalinové cesty po dobu nepřesahující v součtu 6 měsíců v kalendářním roce.</w:t>
      </w:r>
    </w:p>
    <w:p w14:paraId="67757307" w14:textId="77777777" w:rsidR="00726D2A" w:rsidRPr="00B901E5" w:rsidRDefault="00726D2A" w:rsidP="00726D2A">
      <w:pPr>
        <w:spacing w:after="0" w:line="240" w:lineRule="auto"/>
        <w:jc w:val="both"/>
        <w:rPr>
          <w:sz w:val="24"/>
          <w:szCs w:val="24"/>
        </w:rPr>
      </w:pPr>
    </w:p>
    <w:p w14:paraId="1FCAD000" w14:textId="00F22004" w:rsidR="00726D2A" w:rsidRPr="00B901E5" w:rsidRDefault="00726D2A" w:rsidP="00726D2A">
      <w:pPr>
        <w:pStyle w:val="Odstavecseseznamem"/>
        <w:numPr>
          <w:ilvl w:val="0"/>
          <w:numId w:val="5"/>
        </w:numPr>
        <w:spacing w:after="0" w:line="240" w:lineRule="auto"/>
        <w:jc w:val="both"/>
        <w:rPr>
          <w:sz w:val="24"/>
          <w:szCs w:val="24"/>
        </w:rPr>
      </w:pPr>
      <w:r w:rsidRPr="00B901E5">
        <w:rPr>
          <w:sz w:val="24"/>
          <w:szCs w:val="24"/>
        </w:rPr>
        <w:t>U jednovrstvého (nevyvložkovaného) zděného komínu pro spotřebiče na plynná paliva se lhůty kontrol a čištění řídí lhůtami kontrol a čištění spalinové cesty určené pro odvod spalin od spotřebiče na pevná paliva.</w:t>
      </w:r>
    </w:p>
    <w:p w14:paraId="429A5E86" w14:textId="77777777" w:rsidR="00726D2A" w:rsidRPr="00B901E5" w:rsidRDefault="00726D2A" w:rsidP="00726D2A">
      <w:pPr>
        <w:spacing w:after="0" w:line="240" w:lineRule="auto"/>
        <w:jc w:val="both"/>
        <w:rPr>
          <w:sz w:val="24"/>
          <w:szCs w:val="24"/>
        </w:rPr>
      </w:pPr>
    </w:p>
    <w:p w14:paraId="3729224E" w14:textId="671C9B43" w:rsidR="00726D2A" w:rsidRPr="00B901E5" w:rsidRDefault="00726D2A" w:rsidP="00726D2A">
      <w:pPr>
        <w:pStyle w:val="Odstavecseseznamem"/>
        <w:numPr>
          <w:ilvl w:val="0"/>
          <w:numId w:val="5"/>
        </w:numPr>
        <w:spacing w:after="0" w:line="240" w:lineRule="auto"/>
        <w:jc w:val="both"/>
        <w:rPr>
          <w:sz w:val="24"/>
          <w:szCs w:val="24"/>
        </w:rPr>
      </w:pPr>
      <w:r w:rsidRPr="00B901E5">
        <w:rPr>
          <w:sz w:val="24"/>
          <w:szCs w:val="24"/>
        </w:rPr>
        <w:t>Při čištění a kontrolách jednou, dvakrát nebo třikrát ročně se tyto činnosti provádí v přiměřených časových odstupech, přičemž mezi jednotlivými čištěními a kontrolami prováděnými dvakrát nebo třikrát ročně nesmí uplynout doba kratší 3 měsíců.</w:t>
      </w:r>
    </w:p>
    <w:p w14:paraId="4015EC31" w14:textId="77777777" w:rsidR="00726D2A" w:rsidRPr="00B901E5" w:rsidRDefault="00726D2A" w:rsidP="00726D2A">
      <w:pPr>
        <w:spacing w:after="0" w:line="240" w:lineRule="auto"/>
        <w:jc w:val="both"/>
        <w:rPr>
          <w:sz w:val="24"/>
          <w:szCs w:val="24"/>
        </w:rPr>
      </w:pPr>
    </w:p>
    <w:p w14:paraId="067B2F83" w14:textId="1F57D970" w:rsidR="00726D2A" w:rsidRPr="00B901E5" w:rsidRDefault="00726D2A" w:rsidP="00726D2A">
      <w:pPr>
        <w:pStyle w:val="Odstavecseseznamem"/>
        <w:numPr>
          <w:ilvl w:val="0"/>
          <w:numId w:val="5"/>
        </w:numPr>
        <w:spacing w:after="0" w:line="240" w:lineRule="auto"/>
        <w:jc w:val="both"/>
        <w:rPr>
          <w:sz w:val="24"/>
          <w:szCs w:val="24"/>
        </w:rPr>
      </w:pPr>
      <w:r w:rsidRPr="00B901E5">
        <w:rPr>
          <w:sz w:val="24"/>
          <w:szCs w:val="24"/>
        </w:rPr>
        <w:lastRenderedPageBreak/>
        <w:t>Pojistný (rezervní) komín používaný pro odvod spalin od spotřebiče na pevná paliva v případech, kdy nelze zajistit topení jiným způsobem, se čistí a kontroluje ve stejných lhůtách jako spalinová cesta určená pro odvod spalin od spotřebiče na pevná paliva.</w:t>
      </w:r>
    </w:p>
    <w:p w14:paraId="3EDA5E2D" w14:textId="39FD55CA" w:rsidR="00726D2A" w:rsidRPr="00B901E5" w:rsidRDefault="00726D2A" w:rsidP="00726D2A">
      <w:pPr>
        <w:pStyle w:val="Odstavecseseznamem"/>
        <w:numPr>
          <w:ilvl w:val="0"/>
          <w:numId w:val="5"/>
        </w:numPr>
        <w:spacing w:after="0" w:line="240" w:lineRule="auto"/>
        <w:jc w:val="both"/>
        <w:rPr>
          <w:sz w:val="24"/>
          <w:szCs w:val="24"/>
        </w:rPr>
      </w:pPr>
      <w:r w:rsidRPr="00B901E5">
        <w:rPr>
          <w:sz w:val="24"/>
          <w:szCs w:val="24"/>
        </w:rPr>
        <w:t>Spalinová cesta pro odvod spalin od spotřebiče na pevná paliva sloužícího k přípravě pokrmů jako poskytované stravovací služby se čistí a kontroluje nejméně jedenkrát za dva měsíce.</w:t>
      </w:r>
    </w:p>
    <w:p w14:paraId="5A5BB6EB" w14:textId="77777777" w:rsidR="00726D2A" w:rsidRPr="00B901E5" w:rsidRDefault="00726D2A" w:rsidP="00726D2A">
      <w:pPr>
        <w:spacing w:after="0" w:line="240" w:lineRule="auto"/>
        <w:jc w:val="both"/>
        <w:rPr>
          <w:sz w:val="24"/>
          <w:szCs w:val="24"/>
        </w:rPr>
      </w:pPr>
    </w:p>
    <w:p w14:paraId="0B8535A8" w14:textId="6420169C" w:rsidR="00726D2A" w:rsidRPr="00B901E5" w:rsidRDefault="00726D2A" w:rsidP="00726D2A">
      <w:pPr>
        <w:pStyle w:val="Odstavecseseznamem"/>
        <w:numPr>
          <w:ilvl w:val="0"/>
          <w:numId w:val="5"/>
        </w:numPr>
        <w:spacing w:after="0" w:line="240" w:lineRule="auto"/>
        <w:jc w:val="both"/>
        <w:rPr>
          <w:sz w:val="24"/>
          <w:szCs w:val="24"/>
        </w:rPr>
      </w:pPr>
      <w:r w:rsidRPr="00B901E5">
        <w:rPr>
          <w:sz w:val="24"/>
          <w:szCs w:val="24"/>
        </w:rPr>
        <w:t>Ve stavbě pro rodinnou rekreaci se čištění provádí nejméně jedenkrát ročně a kontrola nejméně jedenkrát za dva roky.</w:t>
      </w:r>
    </w:p>
    <w:p w14:paraId="1068312C" w14:textId="77777777" w:rsidR="00726D2A" w:rsidRPr="00B901E5" w:rsidRDefault="00726D2A" w:rsidP="00726D2A">
      <w:pPr>
        <w:spacing w:after="0" w:line="240" w:lineRule="auto"/>
        <w:jc w:val="both"/>
        <w:rPr>
          <w:sz w:val="24"/>
          <w:szCs w:val="24"/>
        </w:rPr>
      </w:pPr>
    </w:p>
    <w:p w14:paraId="08330EDF" w14:textId="67D0DE05" w:rsidR="00726D2A" w:rsidRPr="00B901E5" w:rsidRDefault="00726D2A" w:rsidP="00726D2A">
      <w:pPr>
        <w:pStyle w:val="Odstavecseseznamem"/>
        <w:numPr>
          <w:ilvl w:val="0"/>
          <w:numId w:val="5"/>
        </w:numPr>
        <w:spacing w:after="0" w:line="240" w:lineRule="auto"/>
        <w:jc w:val="both"/>
        <w:rPr>
          <w:sz w:val="24"/>
          <w:szCs w:val="24"/>
        </w:rPr>
      </w:pPr>
      <w:r w:rsidRPr="00B901E5">
        <w:rPr>
          <w:sz w:val="24"/>
          <w:szCs w:val="24"/>
        </w:rPr>
        <w:t>Spalinovou cestu, na kterou byla při zahájení provozu provedena revize, na kterou je připojen původní spotřebič paliv a která nebyla v provozu od předchozí kontroly a čištění déle, než je doba vyplývající ze lhůt čištění spalinové cesty uvedených v této příloze, není nutné do jejího opětovného uvedení do provozu kontrolovat a čistit; čištění a kontrola spalinové cesty se provedou před opětovným uvedením spotřebiče paliv do provozu.</w:t>
      </w:r>
    </w:p>
    <w:p w14:paraId="29CE4918" w14:textId="77777777" w:rsidR="00726D2A" w:rsidRPr="00B901E5" w:rsidRDefault="00726D2A" w:rsidP="00726D2A">
      <w:pPr>
        <w:spacing w:after="0" w:line="240" w:lineRule="auto"/>
        <w:jc w:val="both"/>
        <w:rPr>
          <w:sz w:val="24"/>
          <w:szCs w:val="24"/>
        </w:rPr>
      </w:pPr>
    </w:p>
    <w:p w14:paraId="69D6ED84" w14:textId="765A2E32" w:rsidR="00726D2A" w:rsidRPr="00B901E5" w:rsidRDefault="00726D2A" w:rsidP="00726D2A">
      <w:pPr>
        <w:pStyle w:val="Odstavecseseznamem"/>
        <w:numPr>
          <w:ilvl w:val="0"/>
          <w:numId w:val="5"/>
        </w:numPr>
        <w:spacing w:after="0" w:line="240" w:lineRule="auto"/>
        <w:jc w:val="both"/>
        <w:rPr>
          <w:sz w:val="24"/>
          <w:szCs w:val="24"/>
        </w:rPr>
      </w:pPr>
      <w:r w:rsidRPr="00B901E5">
        <w:rPr>
          <w:sz w:val="24"/>
          <w:szCs w:val="24"/>
        </w:rPr>
        <w:t>U nepoužívaného komínu, od kterého je odpojen spotřebič paliv a komínový průduch, byl v sopouchu uzavřen a v ústí uzavřen a zabezpečen proti vnikání dešťových srážek, při zachování funkce větrání, se kontrola a čištění neprovádí.</w:t>
      </w:r>
    </w:p>
    <w:p w14:paraId="7562CBF3" w14:textId="77777777" w:rsidR="00726D2A" w:rsidRPr="00B901E5" w:rsidRDefault="00726D2A" w:rsidP="00726D2A">
      <w:pPr>
        <w:spacing w:after="0" w:line="240" w:lineRule="auto"/>
        <w:jc w:val="both"/>
        <w:rPr>
          <w:sz w:val="24"/>
          <w:szCs w:val="24"/>
        </w:rPr>
      </w:pPr>
    </w:p>
    <w:p w14:paraId="6A3711CD" w14:textId="78ACA245" w:rsidR="00726D2A" w:rsidRPr="00B901E5" w:rsidRDefault="00726D2A" w:rsidP="00726D2A">
      <w:pPr>
        <w:pStyle w:val="Odstavecseseznamem"/>
        <w:numPr>
          <w:ilvl w:val="0"/>
          <w:numId w:val="5"/>
        </w:numPr>
        <w:spacing w:after="0" w:line="240" w:lineRule="auto"/>
        <w:jc w:val="both"/>
        <w:rPr>
          <w:sz w:val="24"/>
          <w:szCs w:val="24"/>
        </w:rPr>
      </w:pPr>
      <w:r w:rsidRPr="00B901E5">
        <w:rPr>
          <w:sz w:val="24"/>
          <w:szCs w:val="24"/>
        </w:rPr>
        <w:t>Spalinová cesta pro odvod spalin od kondenzačního spotřebiče na plynná paliva se čistí a kontroluje nejméně jedenkrát za dva roky.</w:t>
      </w:r>
    </w:p>
    <w:p w14:paraId="5D02E55A" w14:textId="77777777" w:rsidR="00B901E5" w:rsidRDefault="00B901E5" w:rsidP="00726D2A">
      <w:pPr>
        <w:spacing w:line="240" w:lineRule="auto"/>
        <w:jc w:val="both"/>
        <w:rPr>
          <w:sz w:val="24"/>
          <w:szCs w:val="24"/>
          <w:u w:val="single"/>
        </w:rPr>
      </w:pPr>
      <w:bookmarkStart w:id="0" w:name="_GoBack"/>
      <w:bookmarkEnd w:id="0"/>
    </w:p>
    <w:p w14:paraId="60F38567" w14:textId="55AC5E1E" w:rsidR="009E537F" w:rsidRPr="00087996" w:rsidRDefault="009C2803" w:rsidP="00726D2A">
      <w:pPr>
        <w:spacing w:line="240" w:lineRule="auto"/>
        <w:jc w:val="both"/>
        <w:rPr>
          <w:b/>
          <w:sz w:val="24"/>
          <w:szCs w:val="24"/>
          <w:u w:val="single"/>
        </w:rPr>
      </w:pPr>
      <w:r w:rsidRPr="00087996">
        <w:rPr>
          <w:b/>
          <w:sz w:val="24"/>
          <w:szCs w:val="24"/>
          <w:u w:val="single"/>
        </w:rPr>
        <w:t xml:space="preserve">Požár </w:t>
      </w:r>
    </w:p>
    <w:p w14:paraId="0F62020F" w14:textId="77777777" w:rsidR="009C2803" w:rsidRPr="009C2803" w:rsidRDefault="009C2803" w:rsidP="00726D2A">
      <w:pPr>
        <w:spacing w:line="240" w:lineRule="auto"/>
        <w:jc w:val="both"/>
        <w:rPr>
          <w:sz w:val="24"/>
          <w:szCs w:val="24"/>
        </w:rPr>
      </w:pPr>
      <w:r w:rsidRPr="009C2803">
        <w:rPr>
          <w:sz w:val="24"/>
          <w:szCs w:val="24"/>
        </w:rPr>
        <w:t xml:space="preserve">V případě vzniku požáru sazí v komíně neprodleně volejte hasiče na tísňovou linku </w:t>
      </w:r>
      <w:r w:rsidRPr="00087996">
        <w:rPr>
          <w:b/>
          <w:sz w:val="24"/>
          <w:szCs w:val="24"/>
        </w:rPr>
        <w:t>150,</w:t>
      </w:r>
      <w:r w:rsidRPr="009C2803">
        <w:rPr>
          <w:sz w:val="24"/>
          <w:szCs w:val="24"/>
        </w:rPr>
        <w:t xml:space="preserve"> případně </w:t>
      </w:r>
      <w:r w:rsidRPr="00087996">
        <w:rPr>
          <w:b/>
          <w:sz w:val="24"/>
          <w:szCs w:val="24"/>
        </w:rPr>
        <w:t>112</w:t>
      </w:r>
      <w:r w:rsidRPr="009C2803">
        <w:rPr>
          <w:sz w:val="24"/>
          <w:szCs w:val="24"/>
        </w:rPr>
        <w:t>. Požár v komíně nikdy nehaste vodou z důvodu možného popraskání komínového tělesa, či exploze.</w:t>
      </w:r>
    </w:p>
    <w:p w14:paraId="172578AF" w14:textId="77777777" w:rsidR="009C2803" w:rsidRPr="009C2803" w:rsidRDefault="009C2803" w:rsidP="00726D2A">
      <w:pPr>
        <w:spacing w:line="240" w:lineRule="auto"/>
        <w:jc w:val="both"/>
        <w:rPr>
          <w:sz w:val="24"/>
          <w:szCs w:val="24"/>
        </w:rPr>
      </w:pPr>
      <w:r w:rsidRPr="009C2803">
        <w:rPr>
          <w:sz w:val="24"/>
          <w:szCs w:val="24"/>
        </w:rPr>
        <w:t>Hasební práce provádějte pouze v případě, že nemůže dojít k ohrožení zdraví nebo života zasahující osoby! V opačném případě neprodleně opusťte místo požáru!</w:t>
      </w:r>
    </w:p>
    <w:p w14:paraId="1E3E8B91" w14:textId="218FD9C5" w:rsidR="009C2803" w:rsidRPr="009C2803" w:rsidRDefault="009C2803" w:rsidP="00726D2A">
      <w:pPr>
        <w:spacing w:line="240" w:lineRule="auto"/>
        <w:jc w:val="both"/>
        <w:rPr>
          <w:sz w:val="24"/>
          <w:szCs w:val="24"/>
        </w:rPr>
      </w:pPr>
      <w:r w:rsidRPr="009C2803">
        <w:rPr>
          <w:sz w:val="24"/>
          <w:szCs w:val="24"/>
        </w:rPr>
        <w:t>Urychleně odstraňte veškerý hořlavý materiál z blízkosti komínového tělesa. Pokud je to možné, omezte přístup vzduchu do komína (např. uzavřením vzduchové klapky u kotle, odstraněním kouřovodu a utěsněním sopouchu např. textilií, která bude plnit vzduchotěsnící funkci).</w:t>
      </w:r>
    </w:p>
    <w:p w14:paraId="6090C7EB" w14:textId="77777777" w:rsidR="009C2803" w:rsidRDefault="009C2803" w:rsidP="00726D2A">
      <w:pPr>
        <w:spacing w:line="240" w:lineRule="auto"/>
        <w:jc w:val="both"/>
      </w:pPr>
    </w:p>
    <w:p w14:paraId="1D54E729" w14:textId="77777777" w:rsidR="00117D28" w:rsidRDefault="00117D28" w:rsidP="00726D2A">
      <w:pPr>
        <w:spacing w:line="240" w:lineRule="auto"/>
        <w:jc w:val="both"/>
      </w:pPr>
    </w:p>
    <w:sectPr w:rsidR="00117D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84E5F"/>
    <w:multiLevelType w:val="hybridMultilevel"/>
    <w:tmpl w:val="BE4C18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E8E0EFC"/>
    <w:multiLevelType w:val="hybridMultilevel"/>
    <w:tmpl w:val="19289B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8995A7E"/>
    <w:multiLevelType w:val="hybridMultilevel"/>
    <w:tmpl w:val="3048BC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DB22FA0"/>
    <w:multiLevelType w:val="hybridMultilevel"/>
    <w:tmpl w:val="A438A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4BA0D55"/>
    <w:multiLevelType w:val="hybridMultilevel"/>
    <w:tmpl w:val="3842B3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7152043"/>
    <w:multiLevelType w:val="hybridMultilevel"/>
    <w:tmpl w:val="AE883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D00"/>
    <w:rsid w:val="0001068C"/>
    <w:rsid w:val="00040284"/>
    <w:rsid w:val="00087996"/>
    <w:rsid w:val="00087FC9"/>
    <w:rsid w:val="000C5620"/>
    <w:rsid w:val="000D051F"/>
    <w:rsid w:val="000D417B"/>
    <w:rsid w:val="000D7B49"/>
    <w:rsid w:val="00117D28"/>
    <w:rsid w:val="00163492"/>
    <w:rsid w:val="00236480"/>
    <w:rsid w:val="00241453"/>
    <w:rsid w:val="00340C8D"/>
    <w:rsid w:val="00390EB4"/>
    <w:rsid w:val="003A5C2D"/>
    <w:rsid w:val="00450103"/>
    <w:rsid w:val="0046001B"/>
    <w:rsid w:val="00510D46"/>
    <w:rsid w:val="006131C9"/>
    <w:rsid w:val="00631A44"/>
    <w:rsid w:val="00726D2A"/>
    <w:rsid w:val="00757162"/>
    <w:rsid w:val="00783BC4"/>
    <w:rsid w:val="007A5A1B"/>
    <w:rsid w:val="007C1F03"/>
    <w:rsid w:val="008A456D"/>
    <w:rsid w:val="008D1DBE"/>
    <w:rsid w:val="00926C99"/>
    <w:rsid w:val="009C2803"/>
    <w:rsid w:val="009E537F"/>
    <w:rsid w:val="00A8577B"/>
    <w:rsid w:val="00AE262F"/>
    <w:rsid w:val="00AE3A8E"/>
    <w:rsid w:val="00B7796B"/>
    <w:rsid w:val="00B877A5"/>
    <w:rsid w:val="00B901E5"/>
    <w:rsid w:val="00BA5326"/>
    <w:rsid w:val="00C01464"/>
    <w:rsid w:val="00C2051D"/>
    <w:rsid w:val="00C91E29"/>
    <w:rsid w:val="00CC1B4C"/>
    <w:rsid w:val="00CE06D8"/>
    <w:rsid w:val="00D6416D"/>
    <w:rsid w:val="00DD5109"/>
    <w:rsid w:val="00DD751D"/>
    <w:rsid w:val="00EA0D57"/>
    <w:rsid w:val="00EB4D00"/>
    <w:rsid w:val="00FC00E1"/>
    <w:rsid w:val="00FD6E40"/>
    <w:rsid w:val="00FE33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C5F8D"/>
  <w15:chartTrackingRefBased/>
  <w15:docId w15:val="{B5C5F44A-D67D-43F6-A230-7DCC1C85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A5326"/>
    <w:pPr>
      <w:ind w:left="720"/>
      <w:contextualSpacing/>
    </w:pPr>
  </w:style>
  <w:style w:type="character" w:styleId="Hypertextovodkaz">
    <w:name w:val="Hyperlink"/>
    <w:basedOn w:val="Standardnpsmoodstavce"/>
    <w:uiPriority w:val="99"/>
    <w:unhideWhenUsed/>
    <w:rsid w:val="000D417B"/>
    <w:rPr>
      <w:color w:val="0563C1" w:themeColor="hyperlink"/>
      <w:u w:val="single"/>
    </w:rPr>
  </w:style>
  <w:style w:type="character" w:customStyle="1" w:styleId="Nevyeenzmnka1">
    <w:name w:val="Nevyřešená zmínka1"/>
    <w:basedOn w:val="Standardnpsmoodstavce"/>
    <w:uiPriority w:val="99"/>
    <w:semiHidden/>
    <w:unhideWhenUsed/>
    <w:rsid w:val="000D417B"/>
    <w:rPr>
      <w:color w:val="605E5C"/>
      <w:shd w:val="clear" w:color="auto" w:fill="E1DFDD"/>
    </w:rPr>
  </w:style>
  <w:style w:type="character" w:styleId="Sledovanodkaz">
    <w:name w:val="FollowedHyperlink"/>
    <w:basedOn w:val="Standardnpsmoodstavce"/>
    <w:uiPriority w:val="99"/>
    <w:semiHidden/>
    <w:unhideWhenUsed/>
    <w:rsid w:val="000D417B"/>
    <w:rPr>
      <w:color w:val="954F72" w:themeColor="followedHyperlink"/>
      <w:u w:val="single"/>
    </w:rPr>
  </w:style>
  <w:style w:type="paragraph" w:styleId="Normlnweb">
    <w:name w:val="Normal (Web)"/>
    <w:basedOn w:val="Normln"/>
    <w:uiPriority w:val="99"/>
    <w:semiHidden/>
    <w:unhideWhenUsed/>
    <w:rsid w:val="000D417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D417B"/>
    <w:rPr>
      <w:b/>
      <w:bCs/>
    </w:rPr>
  </w:style>
  <w:style w:type="table" w:styleId="Mkatabulky">
    <w:name w:val="Table Grid"/>
    <w:basedOn w:val="Normlntabulka"/>
    <w:uiPriority w:val="39"/>
    <w:rsid w:val="00C01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B901E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901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9956">
      <w:bodyDiv w:val="1"/>
      <w:marLeft w:val="0"/>
      <w:marRight w:val="0"/>
      <w:marTop w:val="0"/>
      <w:marBottom w:val="0"/>
      <w:divBdr>
        <w:top w:val="none" w:sz="0" w:space="0" w:color="auto"/>
        <w:left w:val="none" w:sz="0" w:space="0" w:color="auto"/>
        <w:bottom w:val="none" w:sz="0" w:space="0" w:color="auto"/>
        <w:right w:val="none" w:sz="0" w:space="0" w:color="auto"/>
      </w:divBdr>
    </w:div>
    <w:div w:id="133497999">
      <w:bodyDiv w:val="1"/>
      <w:marLeft w:val="0"/>
      <w:marRight w:val="0"/>
      <w:marTop w:val="0"/>
      <w:marBottom w:val="0"/>
      <w:divBdr>
        <w:top w:val="none" w:sz="0" w:space="0" w:color="auto"/>
        <w:left w:val="none" w:sz="0" w:space="0" w:color="auto"/>
        <w:bottom w:val="none" w:sz="0" w:space="0" w:color="auto"/>
        <w:right w:val="none" w:sz="0" w:space="0" w:color="auto"/>
      </w:divBdr>
    </w:div>
    <w:div w:id="346055949">
      <w:bodyDiv w:val="1"/>
      <w:marLeft w:val="0"/>
      <w:marRight w:val="0"/>
      <w:marTop w:val="0"/>
      <w:marBottom w:val="0"/>
      <w:divBdr>
        <w:top w:val="none" w:sz="0" w:space="0" w:color="auto"/>
        <w:left w:val="none" w:sz="0" w:space="0" w:color="auto"/>
        <w:bottom w:val="none" w:sz="0" w:space="0" w:color="auto"/>
        <w:right w:val="none" w:sz="0" w:space="0" w:color="auto"/>
      </w:divBdr>
    </w:div>
    <w:div w:id="424568878">
      <w:bodyDiv w:val="1"/>
      <w:marLeft w:val="0"/>
      <w:marRight w:val="0"/>
      <w:marTop w:val="0"/>
      <w:marBottom w:val="0"/>
      <w:divBdr>
        <w:top w:val="none" w:sz="0" w:space="0" w:color="auto"/>
        <w:left w:val="none" w:sz="0" w:space="0" w:color="auto"/>
        <w:bottom w:val="none" w:sz="0" w:space="0" w:color="auto"/>
        <w:right w:val="none" w:sz="0" w:space="0" w:color="auto"/>
      </w:divBdr>
    </w:div>
    <w:div w:id="531963499">
      <w:bodyDiv w:val="1"/>
      <w:marLeft w:val="0"/>
      <w:marRight w:val="0"/>
      <w:marTop w:val="0"/>
      <w:marBottom w:val="0"/>
      <w:divBdr>
        <w:top w:val="none" w:sz="0" w:space="0" w:color="auto"/>
        <w:left w:val="none" w:sz="0" w:space="0" w:color="auto"/>
        <w:bottom w:val="none" w:sz="0" w:space="0" w:color="auto"/>
        <w:right w:val="none" w:sz="0" w:space="0" w:color="auto"/>
      </w:divBdr>
    </w:div>
    <w:div w:id="681202229">
      <w:bodyDiv w:val="1"/>
      <w:marLeft w:val="0"/>
      <w:marRight w:val="0"/>
      <w:marTop w:val="0"/>
      <w:marBottom w:val="0"/>
      <w:divBdr>
        <w:top w:val="none" w:sz="0" w:space="0" w:color="auto"/>
        <w:left w:val="none" w:sz="0" w:space="0" w:color="auto"/>
        <w:bottom w:val="none" w:sz="0" w:space="0" w:color="auto"/>
        <w:right w:val="none" w:sz="0" w:space="0" w:color="auto"/>
      </w:divBdr>
    </w:div>
    <w:div w:id="1249734026">
      <w:bodyDiv w:val="1"/>
      <w:marLeft w:val="0"/>
      <w:marRight w:val="0"/>
      <w:marTop w:val="0"/>
      <w:marBottom w:val="0"/>
      <w:divBdr>
        <w:top w:val="none" w:sz="0" w:space="0" w:color="auto"/>
        <w:left w:val="none" w:sz="0" w:space="0" w:color="auto"/>
        <w:bottom w:val="none" w:sz="0" w:space="0" w:color="auto"/>
        <w:right w:val="none" w:sz="0" w:space="0" w:color="auto"/>
      </w:divBdr>
    </w:div>
    <w:div w:id="1396271017">
      <w:bodyDiv w:val="1"/>
      <w:marLeft w:val="0"/>
      <w:marRight w:val="0"/>
      <w:marTop w:val="0"/>
      <w:marBottom w:val="0"/>
      <w:divBdr>
        <w:top w:val="none" w:sz="0" w:space="0" w:color="auto"/>
        <w:left w:val="none" w:sz="0" w:space="0" w:color="auto"/>
        <w:bottom w:val="none" w:sz="0" w:space="0" w:color="auto"/>
        <w:right w:val="none" w:sz="0" w:space="0" w:color="auto"/>
      </w:divBdr>
    </w:div>
    <w:div w:id="1596791287">
      <w:bodyDiv w:val="1"/>
      <w:marLeft w:val="0"/>
      <w:marRight w:val="0"/>
      <w:marTop w:val="0"/>
      <w:marBottom w:val="0"/>
      <w:divBdr>
        <w:top w:val="none" w:sz="0" w:space="0" w:color="auto"/>
        <w:left w:val="none" w:sz="0" w:space="0" w:color="auto"/>
        <w:bottom w:val="none" w:sz="0" w:space="0" w:color="auto"/>
        <w:right w:val="none" w:sz="0" w:space="0" w:color="auto"/>
      </w:divBdr>
    </w:div>
    <w:div w:id="1772314238">
      <w:bodyDiv w:val="1"/>
      <w:marLeft w:val="0"/>
      <w:marRight w:val="0"/>
      <w:marTop w:val="0"/>
      <w:marBottom w:val="0"/>
      <w:divBdr>
        <w:top w:val="none" w:sz="0" w:space="0" w:color="auto"/>
        <w:left w:val="none" w:sz="0" w:space="0" w:color="auto"/>
        <w:bottom w:val="none" w:sz="0" w:space="0" w:color="auto"/>
        <w:right w:val="none" w:sz="0" w:space="0" w:color="auto"/>
      </w:divBdr>
    </w:div>
    <w:div w:id="183116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63261C267F9E49BE5502D6FB761366" ma:contentTypeVersion="12" ma:contentTypeDescription="Vytvoří nový dokument" ma:contentTypeScope="" ma:versionID="3b32abe389472567f5f0faed7d0d0bdf">
  <xsd:schema xmlns:xsd="http://www.w3.org/2001/XMLSchema" xmlns:xs="http://www.w3.org/2001/XMLSchema" xmlns:p="http://schemas.microsoft.com/office/2006/metadata/properties" xmlns:ns3="8eff9d60-c0aa-4c91-98bc-e85e9b175da2" targetNamespace="http://schemas.microsoft.com/office/2006/metadata/properties" ma:root="true" ma:fieldsID="7bdadc325644f06462a51cc068fca96f" ns3:_="">
    <xsd:import namespace="8eff9d60-c0aa-4c91-98bc-e85e9b175d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f9d60-c0aa-4c91-98bc-e85e9b175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eff9d60-c0aa-4c91-98bc-e85e9b175d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A305C-ED74-4BEB-AEB2-3F69CC9C1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f9d60-c0aa-4c91-98bc-e85e9b175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24F020-DC1C-4165-94B3-78B572A15F1E}">
  <ds:schemaRefs>
    <ds:schemaRef ds:uri="http://schemas.microsoft.com/sharepoint/v3/contenttype/forms"/>
  </ds:schemaRefs>
</ds:datastoreItem>
</file>

<file path=customXml/itemProps3.xml><?xml version="1.0" encoding="utf-8"?>
<ds:datastoreItem xmlns:ds="http://schemas.openxmlformats.org/officeDocument/2006/customXml" ds:itemID="{FD8F6A69-BD58-471E-9DED-4B76B36F2DE0}">
  <ds:schemaRefs>
    <ds:schemaRef ds:uri="http://schemas.microsoft.com/office/2006/metadata/properties"/>
    <ds:schemaRef ds:uri="http://schemas.microsoft.com/office/infopath/2007/PartnerControls"/>
    <ds:schemaRef ds:uri="8eff9d60-c0aa-4c91-98bc-e85e9b175da2"/>
  </ds:schemaRefs>
</ds:datastoreItem>
</file>

<file path=customXml/itemProps4.xml><?xml version="1.0" encoding="utf-8"?>
<ds:datastoreItem xmlns:ds="http://schemas.openxmlformats.org/officeDocument/2006/customXml" ds:itemID="{6CC7A7FA-FD63-4FDE-8FAA-B03E01781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1315</Words>
  <Characters>7764</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Borůvková Veronika</dc:creator>
  <cp:keywords/>
  <dc:description/>
  <cp:lastModifiedBy>Mencl Jan</cp:lastModifiedBy>
  <cp:revision>5</cp:revision>
  <cp:lastPrinted>2023-10-03T10:27:00Z</cp:lastPrinted>
  <dcterms:created xsi:type="dcterms:W3CDTF">2023-10-03T08:58:00Z</dcterms:created>
  <dcterms:modified xsi:type="dcterms:W3CDTF">2023-10-03T10:30:00Z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0x0101006F63261C267F9E49BE5502D6FB761366</vt:lpwstr>
  </property>
</Properties>
</file>