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8616"/>
        <w:gridCol w:w="1077"/>
      </w:tblGrid>
      <w:tr w:rsidR="00E00FEA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sestavený ke dni </w:t>
            </w:r>
            <w:r w:rsidR="00D74996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31.12.2024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E00FEA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  <w:sectPr w:rsidR="00E00FEA">
          <w:headerReference w:type="default" r:id="rId6"/>
          <w:footerReference w:type="default" r:id="rId7"/>
          <w:headerReference w:type="first" r:id="rId8"/>
          <w:footerReference w:type="first" r:id="rId9"/>
          <w:pgSz w:w="11903" w:h="16835"/>
          <w:pgMar w:top="566" w:right="566" w:bottom="850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4"/>
        <w:gridCol w:w="8077"/>
      </w:tblGrid>
      <w:tr w:rsidR="00E00FEA">
        <w:trPr>
          <w:cantSplit/>
        </w:trPr>
        <w:tc>
          <w:tcPr>
            <w:tcW w:w="10769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E00FEA">
        <w:trPr>
          <w:cantSplit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Údaje o organizaci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identifikační číslo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00572209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Obec Trhanov 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ulice, č.p.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63/0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obec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Trhanov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PSČ, pošta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34533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4"/>
        <w:gridCol w:w="8077"/>
      </w:tblGrid>
      <w:tr w:rsidR="00E00FEA">
        <w:trPr>
          <w:cantSplit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Kontaktní údaje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fax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WWW stránky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00FEA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Doplňující údaje organizace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0231"/>
      </w:tblGrid>
      <w:tr w:rsidR="00E00FEA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Obsah závěrečného účtu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I. Plnění rozpočtu příjmů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II. Plnění rozpočtu výdajů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III. Financování (zapojení vlastních úspor a cizích zdrojů)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IV. Stavy a obraty na bankovních účtech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V. Peněžní fondy - informativně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VI. Majetek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VII. Vyúčtování finančních vztahů k rozpočtům krajů, obcí, DSO a vnitřní převody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VIII. Vyúčtování finančních vztahů ke státnímu rozpočtu, státním fondům a Národnímu fondu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IX. Zpráva o výsledku přezkoumání hospodaření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X. Finanční hospodaření zřízených právnických osob a hospodaření s jejich majetkem</w:t>
            </w: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XI. Ostatní doplňující údaje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E00FE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p w:rsidR="00E00FE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p w:rsidR="00E00FEA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lastRenderedPageBreak/>
        <w:t>I. PLNĚNÍ ROZPOČTU PŘÍJMŮ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E00FEA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00FE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10 446 000,00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10 510 000,00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11 312 503,89 </w:t>
            </w:r>
          </w:p>
        </w:tc>
      </w:tr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684 500,00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684 500,00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739 336,99 </w:t>
            </w:r>
          </w:p>
        </w:tc>
      </w:tr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5 400,00 </w:t>
            </w:r>
          </w:p>
        </w:tc>
      </w:tr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159 500,00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1 039 500,00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4 258 500,00 </w:t>
            </w:r>
          </w:p>
        </w:tc>
      </w:tr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11 300 000,00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12 244 000,00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16 315 740,88 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E00FEA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p w:rsidR="00E00FEA" w:rsidRDefault="00E00FE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E00FEA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00FEA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fyzických osob placené plátci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1 787 612,97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fyzických osob placené poplatníky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122 554,61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1113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fyzických osob vybírané srážkou podle zvláštní sazby daně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381 328,26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 z příjmů fyzických osob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2 080 000,00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2 080 000,00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2 291 495,84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1121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2 700 000,00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2 625 000,00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2 357 960,55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1122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příjmu právnických osob v případech, kdy poplatníkem je obec, s výjimkou daně vybírané srážkou podle zvláštní sazby daně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133 190,00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112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2 770 000,00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2 759 000,00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2 491 150,55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Daně z příjmů, zisku a kapitálových výnosů a některé další přímé daně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4 850 000,00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4 839 000,00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4 782 646,39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1211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přidané hodnoty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4 744 857,25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121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všeobecných daní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4 744 857,25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122a3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zvláštních daní, poplatků a jiných obdobných peněžitých plnění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Daně, poplatky a jiná obdobná peněžitá plnění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4 744 857,25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1334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odvodů za odnětí půdy ze ZPF podle zákona upravujícího ochranu ZPF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681,00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133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poplatků a odvodů v oblasti životního prostředí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681,00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1341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poplatku ze psů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9 800,00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1342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poplatku z pobytu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7 190,00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1345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poplatku za obecní systém odpadového hospodářství a příjem z poplatku za odkládání komunálního odpadu z nemovité věci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274 200,00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134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místních poplatků z vybraných činností a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291 190,00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1361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správních poplatků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7 250,00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136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správních a soudních poplatků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7 250,00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hazardních her s výjimkou dílčí daně z technických her za zdaňovací období do konce roku 2023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20 435,95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zrušeného odvodu z loterií a podobných her kromě z výherních hracích přístrojů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5,55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1386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hazardních her s výjimkou technických her neprovozovaných prostřednictvím internetu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54 517,70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1387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technických her neprovozovaných prostřednictvím internetu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27 144,53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daní, poplatků a jiných obdobných peněžitých plnění v oblasti hazardních her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102 103,73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Daně a poplatky z vybraných činností a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401 224,73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1511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nemovitých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1 383 775,52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151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 z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1 383 775,52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Příjem z majetkových daní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1 383 775,52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Daňové příjmy (součet za třídu 1)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10 446 000,00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10 510 000,00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11 312 503,89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poskytování služeb, výrobků, prací, výkonů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129 175,00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2112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prodeje zboží (již nakoupeného za účelem prodeje)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6 895,00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2119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příjmy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138 070,00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19 161,90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ostatních nemovitých věcí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150 024,00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169 185,90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úroků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1 092,78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výnosy z finančního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1 092,78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Příjem z vlastní činnosti a odvody přebytků organizací s přímým vztahem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264 500,00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264 500,00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308 348,68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Přijaté neinvestiční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příspěky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430 988,31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232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430 988,31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Příjem z prodeje neinvestičního majetku a ostatní 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430 988,31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Nedaňové příjmy (součet za třídu 2)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684 500,00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684 500,00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739 336,99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3111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prodeje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5 400,00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prodeje dlouhodobého majetku (kromě drobného)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5 400,00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Příjem z prodeje dlouhodobého majetku a ostatní 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5 400,00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Kapitálové příjmy (souč.za třídu 3)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5 400,00 </w:t>
            </w:r>
          </w:p>
        </w:tc>
      </w:tr>
      <w:tr w:rsidR="00E00FEA">
        <w:trPr>
          <w:cantSplit/>
        </w:trPr>
        <w:tc>
          <w:tcPr>
            <w:tcW w:w="527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Vlastní příjmy (třída 1+2+3)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11 140 500,00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11 204 500,00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12 057 240,88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z všeobecné pokladní správy státního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ze státního rozpočtu v rámci souhrnného dotačního vztahu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159 500,00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159 500,00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159 500,00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rozpočtů ústřední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159 500,00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239 500,00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239 500,00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4122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800 000,00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412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rozpočtů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800 000,00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4134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3 219 000,00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413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převody z vlastních fondů a ve vztahu k útvarům bez právní osobnosti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3 219 000,00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Neinvestiční 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159 500,00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1 039 500,00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4 258 500,00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Přijaté transfery (součet za třídu 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159 500,00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1 039 500,00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4 258 500,00 </w:t>
            </w:r>
          </w:p>
        </w:tc>
      </w:tr>
      <w:tr w:rsidR="00E00FEA">
        <w:trPr>
          <w:cantSplit/>
        </w:trPr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top w:w="70" w:type="dxa"/>
              <w:bottom w:w="7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  <w:t>Příjmy celkem (třídy 1+2+3+4)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11 300 000,00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12 244 000,00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16 315 740,88 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E00FEA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p w:rsidR="00E00FE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 w:type="page"/>
      </w:r>
    </w:p>
    <w:p w:rsidR="00E00FEA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lastRenderedPageBreak/>
        <w:t>II. PLNĚNÍ ROZPOČTU VÝDAJŮ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E00FEA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00FEA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11 258 000,00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13 706 187,58 </w:t>
            </w:r>
          </w:p>
        </w:tc>
      </w:tr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Kapitálové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986 000,00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938 170,00 </w:t>
            </w:r>
          </w:p>
        </w:tc>
      </w:tr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11 300 000,00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12 244 000,00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14 644 357,58 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E00FEA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p w:rsidR="00E00FEA" w:rsidRDefault="00E00FE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E00FEA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Detailní výpis položek dle odvětvového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00FEA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2212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Silnice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180 077,00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2219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záležitosti pozemních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2292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Dopravní obslužnost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34 150,00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34 146,00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2310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Pitná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369 119,76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2321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Odvádění a čištění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odpadn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 vod a nakládání s kaly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282 950,00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223 495,74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2341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Vodní díla v zemědělské krajině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1 133 000,00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1 131 586,25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3111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Mateřské školy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1 489 000,00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1 419 650,00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3113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Základní školy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3319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záležitosti kultury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10 848,00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3322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Zachování a obnova kulturních památek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2 223 000,00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2 093 921,76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3399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Ostatní záležitosti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kultury,církví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sděl.prostř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129 551,94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3419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sportovní činnost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189 600,00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3421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Využití volného času dětí a mládeže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52 147,00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3429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zájmová činnost a rekreace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3543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Pomoc zdravotně postiženým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3612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Bytové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19 475,76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3631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Veřejné osvětlení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453 038,95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3632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Pohřebnictví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14 709,97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3639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Komunální služby a územní rozvoj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465 000,00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416 588,82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3722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Sběr a svoz komunálních odpadů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893 000,00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892 387,30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3725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Využívání a zneškodňování komunálních odpadů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364 275,00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3745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Péče o vzhled obcí a veřejnou zeleň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52 434,03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5213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Krizová opatření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5512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Požární ochrana - dobrovolná část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117 776,08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6112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Zastupitelstva obcí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1 023 000,00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1 015 374,00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6115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Volby do zastupitelstev územních samosprávných cel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47 834,90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6117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Volby do Evropského parlamentu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26 591,70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6171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Činnost místní správy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1 982 000,00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1 891 885,42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6310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Obecné příjmy a výdaje z finančních operací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13 480,20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6320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Pojištění funkčně nespecifikované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47 425,00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6330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3 219 000,00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6399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finanční operace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133 190,00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6402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" w:type="dxa"/>
              <w:bottom w:w="50" w:type="dxa"/>
              <w:right w:w="1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Finanční vypořádání minulých let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bottom w:w="5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5 747,00 </w:t>
            </w:r>
          </w:p>
        </w:tc>
      </w:tr>
      <w:tr w:rsidR="00E00FEA">
        <w:trPr>
          <w:cantSplit/>
        </w:trPr>
        <w:tc>
          <w:tcPr>
            <w:tcW w:w="5276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4"/>
                <w:szCs w:val="14"/>
              </w:rPr>
              <w:t>ROZPOČTOVÉ VÝDAJE CELKEM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11 300 000,00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12 244 000,00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14 644 357,58 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E00FEA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E00FEA">
        <w:trPr>
          <w:cantSplit/>
        </w:trPr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4"/>
                <w:szCs w:val="14"/>
              </w:rPr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1 671 383,30 </w:t>
            </w:r>
          </w:p>
        </w:tc>
      </w:tr>
    </w:tbl>
    <w:p w:rsidR="00E00FE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</w:pPr>
      <w:r>
        <w:rPr>
          <w:rFonts w:ascii="Arial" w:hAnsi="Arial" w:cs="Arial"/>
          <w:b/>
          <w:bCs/>
          <w:color w:val="000000"/>
          <w:kern w:val="0"/>
          <w:sz w:val="14"/>
          <w:szCs w:val="14"/>
        </w:rPr>
        <w:br w:type="page"/>
      </w: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:rsidR="00E00FEA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III. FINANCOVÁNÍ (zapojení vlastních úspor a cizích zdrojů)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3338"/>
        <w:gridCol w:w="1831"/>
        <w:gridCol w:w="1831"/>
      </w:tblGrid>
      <w:tr w:rsidR="00E00FEA">
        <w:trPr>
          <w:cantSplit/>
        </w:trPr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položky</w:t>
            </w:r>
          </w:p>
        </w:tc>
        <w:tc>
          <w:tcPr>
            <w:tcW w:w="33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00FEA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4523"/>
        <w:gridCol w:w="538"/>
        <w:gridCol w:w="1831"/>
        <w:gridCol w:w="1831"/>
        <w:gridCol w:w="1831"/>
      </w:tblGrid>
      <w:tr w:rsidR="00E00FEA">
        <w:trPr>
          <w:cantSplit/>
        </w:trPr>
        <w:tc>
          <w:tcPr>
            <w:tcW w:w="10769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Krátkodobé financování z tuzemska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Krátkodobé vydané dluhopisy (+)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Uhrazené splátky krátkodobých vydaných dluhopisů (-)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Krátkodobé přijaté půjčené prostředky (+)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Uhrazené splátky krátkodobých přijatých půjčených prostředků (-)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1 674 513,30-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Aktivní krátkodobé operace řízení likvidity - příjmy (+)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Aktivní krátkodobé operace řízení likvidity - výdaje (-)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10769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Opravné položky k peněžním operacím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3 130,00 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Nerealizované kursové rozdíly pohybů na devizových účtech (+/-)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Nepřevedené částky vyrovnávající schodek a saldo státní pokladny (+/-)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52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  <w:t>1 671 383,30-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kern w:val="0"/>
          <w:sz w:val="14"/>
          <w:szCs w:val="14"/>
        </w:rPr>
        <w:sectPr w:rsidR="00E00FEA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:rsidR="00E00FEA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IV. STAVY A OBRATY NA BANKOVNÍCH ÚČTECH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E00FEA">
        <w:trPr>
          <w:cantSplit/>
        </w:trPr>
        <w:tc>
          <w:tcPr>
            <w:tcW w:w="34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Změna stavu bankovních účtů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00FEA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E00FEA">
        <w:trPr>
          <w:cantSplit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Základní běžný účet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19 810 431,10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1 665 579,30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21 476 010,40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1 665 579,30-</w:t>
            </w:r>
          </w:p>
        </w:tc>
      </w:tr>
      <w:tr w:rsidR="00E00FEA">
        <w:trPr>
          <w:cantSplit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účty fondů ÚSC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účty celkem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19 810 431,10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1 665 579,30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21 476 010,40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1 665 579,30-</w:t>
            </w:r>
          </w:p>
        </w:tc>
      </w:tr>
      <w:tr w:rsidR="00E00FEA">
        <w:trPr>
          <w:cantSplit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Pokladna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2 288,00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8 934,00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11 222,00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8 934,00-</w:t>
            </w:r>
          </w:p>
        </w:tc>
      </w:tr>
      <w:tr w:rsidR="00E00FEA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00FEA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p w:rsidR="00E00FEA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V. PENĚŽNÍ FONDY - INFORMATIVNĚ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E00FEA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  <w:sectPr w:rsidR="00E00FEA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Počáteční zůstatek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Konečný zůstatek  (rozdíl rozpočtu)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Změna stavu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Financování - třída 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10769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E00FEA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p w:rsidR="00E00FEA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VI. MAJETEK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3338"/>
        <w:gridCol w:w="1831"/>
        <w:gridCol w:w="1831"/>
      </w:tblGrid>
      <w:tr w:rsidR="00E00FEA">
        <w:trPr>
          <w:cantSplit/>
        </w:trPr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Konečný stav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00FEA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1"/>
        <w:gridCol w:w="1831"/>
        <w:gridCol w:w="1831"/>
        <w:gridCol w:w="1831"/>
      </w:tblGrid>
      <w:tr w:rsidR="00E00FEA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nehmotný majetek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Nehmotné výsledky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Software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Ocenitelná práva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Povolenky na emise a preferenční limity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200 860,00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200 860,00 </w:t>
            </w:r>
          </w:p>
        </w:tc>
      </w:tr>
      <w:tr w:rsidR="00E00FEA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hmotný majetek odpisovaný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44 876 523,53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44 876 523,53 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Samostatné hmotné movité věci a soubory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3 004 836,86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3 004 836,86 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Pěstitelské celky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2 212 146,59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70 453,85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2 282 600,44 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hmotný majetek neodpisovaný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7 373 031,18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1 682,92-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7 371 348,26 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Kulturní předměty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121 992,00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121 992,00 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Dlouhodobý nehmotný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Dlouhodobý 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Nedokončený a pořizovaný dlouhodobý majetek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Nedokončený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Nedokončený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1 480 570,00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979 705,00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2 460 275,00 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Pořizovaný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Uspořádací účet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tech.zhodnocení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dlouhod.nehmotného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Uspořádací účet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tech.zhodnocení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dlouhod.hmotného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Oprávky k dlouhodobému nehmotnému majetku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nehmotným výsledkům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softwaru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ocenitelným právům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drobnému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ostatnímu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189 119,00-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11 741,00-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200 860,00-</w:t>
            </w:r>
          </w:p>
        </w:tc>
      </w:tr>
      <w:tr w:rsidR="00E00FEA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Oprávky k dlouhodobému hmotnému majetku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ke stavbám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9 344 422,86-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838 708,00-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10 183 130,86-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Oprávky k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samost.hmot.movitým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věcem a souborům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hmot.mov.věcí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1 576 531,78-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225 078,00-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1 801 609,78-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pěstitelským celkům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drobnému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2 212 146,59-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70 453,85-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2 282 600,44-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ostatnímu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Zboží a ostatní zásoby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Pořízení zboží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Zboží na skladě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19 892,00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4 728,00-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15 164,00 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Zboží na cestě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zásoby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Opravné položky ke krátkodobým pohledávkám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směnkám a inkasu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jiným pohledávkám z hlavní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11 563,00-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5 740,00-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17 303,00-</w:t>
            </w: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Opravné položky k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poskyt.návrat.fin.výpomocem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krátkodobým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odběratelům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Opravné položky ke krátkodobým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pohledáv.z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postoupených úvěrů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Opravné položky k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pohledáv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 ze správy daní a obdobných dávek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ke krátkodobým pohledávkám z ručení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E00FE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ostatním krátkodobým pohledávkám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00FEA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00FEA">
        <w:trPr>
          <w:cantSplit/>
        </w:trPr>
        <w:tc>
          <w:tcPr>
            <w:tcW w:w="10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:rsidR="00E00FEA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VII. VYÚČTOVÁNÍ FIN. VZTAHŮ K ROZPOČTŮM KRAJŮ, OBCÍ, DSO A VNITŘNÍ PŘEVODY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E00FEA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Položka</w:t>
            </w:r>
          </w:p>
        </w:tc>
        <w:tc>
          <w:tcPr>
            <w:tcW w:w="463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  <w:sectPr w:rsidR="00E00FEA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4122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800 000,00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4134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3 219 000,00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61 971,20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5323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34 150,00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34 146,00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5329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11 826,00 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5345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2 566 000,00 </w:t>
            </w:r>
          </w:p>
        </w:tc>
      </w:tr>
      <w:tr w:rsidR="00E00FEA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E00FEA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p w:rsidR="00E00FEA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VIII. VYÚČTOVÁNÍ FIN. VZTAHŮ KE ST. ROZPOČTU, ST. FONDŮM A NÁRODNÍMU FONDU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E00FEA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Položka</w:t>
            </w:r>
          </w:p>
        </w:tc>
        <w:tc>
          <w:tcPr>
            <w:tcW w:w="34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. (Příjmy)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. (Výdaje)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 (Výdaje)</w:t>
            </w:r>
          </w:p>
        </w:tc>
      </w:tr>
      <w:tr w:rsidR="00E00FEA">
        <w:trPr>
          <w:cantSplit/>
        </w:trPr>
        <w:tc>
          <w:tcPr>
            <w:tcW w:w="10769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E00FEA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5364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Vratky VRÚÚ transferů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v minulých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rozp.obd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5 747,00 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98008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přímé volby prezidenta republiky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5 747,00 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Neinvestiční přijaté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transf.z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všeob.pokl.správy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48 000,00 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48 000,00 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5019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14 150,00 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14 142,90 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23 150,00 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23 143,00 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hmotný dlouhodobý majetek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5 300,00 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5 264,00 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1 300,00 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1 269,00 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700,00 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656,00 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3 400,00 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3 360,00 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volby do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krasješ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a Senátu ČR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48 000,00 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48 000,00 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48 000,00 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47 834,90 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Neinvestiční přijaté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transf.z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všeob.pokl.správy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32 000,00 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32 000,00 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5019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8 375,70 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16 000,00 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15 643,00 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339,00 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554,00 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1 680,00 </w:t>
            </w:r>
          </w:p>
        </w:tc>
      </w:tr>
      <w:tr w:rsidR="00E00FE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vratka volby do EP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32 000,00 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32 000,00 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32 000,00 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26 591,70 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E00FEA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1903" w:h="16835"/>
          <w:pgMar w:top="566" w:right="566" w:bottom="850" w:left="566" w:header="708" w:footer="708" w:gutter="0"/>
          <w:cols w:space="708"/>
          <w:noEndnote/>
          <w:titlePg/>
        </w:sectPr>
      </w:pP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:rsidR="00E00FEA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IX. ZPRÁVA O VÝSLEDKU PŘEZKOUMÁNÍ HOSPODAŘENÍ</w:t>
      </w: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00FEA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viz. příloha č. 1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:rsidR="00E00FEA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X. FINANČNÍ HOSPODAŘENÍ ZŘÍZENÝCH PRÁVNICKÝCH OSOB A HOSPODAŘENÍ S JEJICH MAJETKEM</w:t>
      </w: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00FEA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viz. příloha č. 2</w:t>
            </w: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:rsidR="00E00FE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  <w:r>
        <w:rPr>
          <w:rFonts w:ascii="Arial" w:hAnsi="Arial" w:cs="Arial"/>
          <w:i/>
          <w:iCs/>
          <w:color w:val="000000"/>
          <w:kern w:val="0"/>
          <w:sz w:val="14"/>
          <w:szCs w:val="14"/>
        </w:rPr>
        <w:br w:type="page"/>
      </w:r>
    </w:p>
    <w:p w:rsidR="00E00FEA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lastRenderedPageBreak/>
        <w:t>XI. OSTATNÍ DOPLŇUJÍCÍ ÚDAJE</w:t>
      </w: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00FEA">
        <w:trPr>
          <w:cantSplit/>
        </w:trPr>
        <w:tc>
          <w:tcPr>
            <w:tcW w:w="10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00FEA">
        <w:trPr>
          <w:cantSplit/>
        </w:trPr>
        <w:tc>
          <w:tcPr>
            <w:tcW w:w="10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80808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7754"/>
      </w:tblGrid>
      <w:tr w:rsidR="00E00FEA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Razítko účetní jednotky</w:t>
            </w:r>
          </w:p>
        </w:tc>
        <w:tc>
          <w:tcPr>
            <w:tcW w:w="77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00FEA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00FEA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00FEA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00FEA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E00FEA">
        <w:trPr>
          <w:cantSplit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Osoba odpovědná za účetnictví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E00FEA">
        <w:trPr>
          <w:cantSplit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Osoba odpovědná za rozpočet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E00FEA" w:rsidRDefault="00E00FE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E00FEA">
        <w:trPr>
          <w:cantSplit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Statutární zástupce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E00FE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E00FE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FEA" w:rsidRDefault="00E0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414A25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414A25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3" w:h="16835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1A8" w:rsidRDefault="00E251A8">
      <w:pPr>
        <w:spacing w:after="0" w:line="240" w:lineRule="auto"/>
      </w:pPr>
      <w:r>
        <w:separator/>
      </w:r>
    </w:p>
  </w:endnote>
  <w:endnote w:type="continuationSeparator" w:id="0">
    <w:p w:rsidR="00E251A8" w:rsidRDefault="00E2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D74996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4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D74996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5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D74996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2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D74996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6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D74996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7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2D476B"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2D476B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D74996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D74996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D74996">
            <w:rPr>
              <w:rFonts w:ascii="Arial" w:hAnsi="Arial" w:cs="Arial"/>
              <w:i/>
              <w:iCs/>
              <w:noProof/>
              <w:color w:val="000000"/>
              <w:kern w:val="0"/>
              <w:sz w:val="14"/>
              <w:szCs w:val="14"/>
            </w:rPr>
            <w:t>3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E00FEA">
      <w:trPr>
        <w:cantSplit/>
      </w:trPr>
      <w:tc>
        <w:tcPr>
          <w:tcW w:w="323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29.05.2025 8h 0m24s</w:t>
          </w:r>
        </w:p>
      </w:tc>
      <w:tc>
        <w:tcPr>
          <w:tcW w:w="4308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1A8" w:rsidRDefault="00E251A8">
      <w:pPr>
        <w:spacing w:after="0" w:line="240" w:lineRule="auto"/>
      </w:pPr>
      <w:r>
        <w:separator/>
      </w:r>
    </w:p>
  </w:footnote>
  <w:footnote w:type="continuationSeparator" w:id="0">
    <w:p w:rsidR="00E251A8" w:rsidRDefault="00E2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  <w:tr w:rsidR="00E00FEA">
      <w:trPr>
        <w:cantSplit/>
      </w:trPr>
      <w:tc>
        <w:tcPr>
          <w:tcW w:w="527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:rsidR="00E00FEA" w:rsidRDefault="00E00FEA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  <w:tr w:rsidR="00E00FEA">
      <w:trPr>
        <w:cantSplit/>
      </w:trPr>
      <w:tc>
        <w:tcPr>
          <w:tcW w:w="527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:rsidR="00E00FEA" w:rsidRDefault="00E00FEA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  <w:tr w:rsidR="00E00FEA">
      <w:trPr>
        <w:cantSplit/>
      </w:trPr>
      <w:tc>
        <w:tcPr>
          <w:tcW w:w="527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Detailní výpis položek dle odvětvového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:rsidR="00E00FEA" w:rsidRDefault="00E00FEA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  <w:p w:rsidR="00E00FEA" w:rsidRDefault="00E00FEA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kern w:val="0"/>
        <w:sz w:val="32"/>
        <w:szCs w:val="32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3446"/>
      <w:gridCol w:w="1724"/>
      <w:gridCol w:w="3446"/>
      <w:gridCol w:w="1077"/>
    </w:tblGrid>
    <w:tr w:rsidR="00E00FEA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 xml:space="preserve">Obec Trhanov </w:t>
          </w: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E00FEA">
      <w:trPr>
        <w:cantSplit/>
      </w:trPr>
      <w:tc>
        <w:tcPr>
          <w:tcW w:w="452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</w:tcPr>
        <w:p w:rsidR="00E00FEA" w:rsidRDefault="00D749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E00FEA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E00FEA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E00FEA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</w:tbl>
  <w:p w:rsidR="00E00FEA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b/>
        <w:bCs/>
        <w:color w:val="000000"/>
        <w:kern w:val="0"/>
        <w:sz w:val="43"/>
        <w:szCs w:val="43"/>
      </w:rPr>
    </w:pPr>
    <w:r>
      <w:rPr>
        <w:rFonts w:ascii="Arial" w:hAnsi="Arial" w:cs="Arial"/>
        <w:b/>
        <w:bCs/>
        <w:color w:val="000000"/>
        <w:kern w:val="0"/>
        <w:sz w:val="43"/>
        <w:szCs w:val="43"/>
      </w:rPr>
      <w:t>ZÁVĚREČN</w:t>
    </w:r>
    <w:r w:rsidR="002D476B">
      <w:rPr>
        <w:rFonts w:ascii="Arial" w:hAnsi="Arial" w:cs="Arial"/>
        <w:b/>
        <w:bCs/>
        <w:color w:val="000000"/>
        <w:kern w:val="0"/>
        <w:sz w:val="43"/>
        <w:szCs w:val="43"/>
      </w:rPr>
      <w:t>Ý</w:t>
    </w:r>
    <w:r>
      <w:rPr>
        <w:rFonts w:ascii="Arial" w:hAnsi="Arial" w:cs="Arial"/>
        <w:b/>
        <w:bCs/>
        <w:color w:val="000000"/>
        <w:kern w:val="0"/>
        <w:sz w:val="43"/>
        <w:szCs w:val="43"/>
      </w:rPr>
      <w:t xml:space="preserve"> ÚČ</w:t>
    </w:r>
    <w:r w:rsidR="002D476B">
      <w:rPr>
        <w:rFonts w:ascii="Arial" w:hAnsi="Arial" w:cs="Arial"/>
        <w:b/>
        <w:bCs/>
        <w:color w:val="000000"/>
        <w:kern w:val="0"/>
        <w:sz w:val="43"/>
        <w:szCs w:val="43"/>
      </w:rPr>
      <w:t>E</w:t>
    </w:r>
    <w:r>
      <w:rPr>
        <w:rFonts w:ascii="Arial" w:hAnsi="Arial" w:cs="Arial"/>
        <w:b/>
        <w:bCs/>
        <w:color w:val="000000"/>
        <w:kern w:val="0"/>
        <w:sz w:val="43"/>
        <w:szCs w:val="43"/>
      </w:rPr>
      <w:t>T ZA ROK 2024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8616"/>
      <w:gridCol w:w="1077"/>
    </w:tblGrid>
    <w:tr w:rsidR="00E00FEA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  <w:tc>
        <w:tcPr>
          <w:tcW w:w="8616" w:type="dxa"/>
          <w:tcBorders>
            <w:top w:val="nil"/>
            <w:left w:val="nil"/>
            <w:bottom w:val="nil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(v Kč)</w:t>
          </w: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  <w:p w:rsidR="00E00FEA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III. FINANCOVÁNÍ (zapojení vlastních úspor a cizích zdrojů)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69"/>
      <w:gridCol w:w="3338"/>
      <w:gridCol w:w="1831"/>
      <w:gridCol w:w="1831"/>
    </w:tblGrid>
    <w:tr w:rsidR="00E00FEA">
      <w:trPr>
        <w:cantSplit/>
      </w:trPr>
      <w:tc>
        <w:tcPr>
          <w:tcW w:w="376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položky</w:t>
          </w:r>
        </w:p>
      </w:tc>
      <w:tc>
        <w:tcPr>
          <w:tcW w:w="333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:rsidR="00E00FEA" w:rsidRDefault="00E00FEA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  <w:p w:rsidR="00E00FEA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IV. STAVY A OBRATY NA BANKOVNÍCH ÚČTECH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446"/>
      <w:gridCol w:w="1830"/>
      <w:gridCol w:w="1831"/>
      <w:gridCol w:w="1831"/>
      <w:gridCol w:w="1831"/>
    </w:tblGrid>
    <w:tr w:rsidR="00E00FEA">
      <w:trPr>
        <w:cantSplit/>
      </w:trPr>
      <w:tc>
        <w:tcPr>
          <w:tcW w:w="34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bankovního účtu</w:t>
          </w:r>
        </w:p>
      </w:tc>
      <w:tc>
        <w:tcPr>
          <w:tcW w:w="183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Počáteční stav k 1. 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Obrat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Konečný stav k 31.12.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Změna stavu bankovních účtů</w:t>
          </w:r>
        </w:p>
      </w:tc>
    </w:tr>
  </w:tbl>
  <w:p w:rsidR="00E00FEA" w:rsidRDefault="00E00FEA">
    <w:pPr>
      <w:widowControl w:val="0"/>
      <w:autoSpaceDE w:val="0"/>
      <w:autoSpaceDN w:val="0"/>
      <w:adjustRightInd w:val="0"/>
      <w:spacing w:before="1" w:after="1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  <w:p w:rsidR="00E00FEA" w:rsidRDefault="00E00FEA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kern w:val="0"/>
        <w:sz w:val="32"/>
        <w:szCs w:val="32"/>
      </w:rPr>
    </w:pP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3446"/>
      <w:gridCol w:w="1724"/>
      <w:gridCol w:w="3446"/>
      <w:gridCol w:w="1077"/>
    </w:tblGrid>
    <w:tr w:rsidR="00E00FEA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 xml:space="preserve">Obec Trhanov </w:t>
          </w: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E00FEA">
      <w:trPr>
        <w:cantSplit/>
      </w:trPr>
      <w:tc>
        <w:tcPr>
          <w:tcW w:w="452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</w:tcPr>
        <w:p w:rsidR="00E00FEA" w:rsidRDefault="00D749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E00FEA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E00FEA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E00FEA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</w:tbl>
  <w:p w:rsidR="00E00FEA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b/>
        <w:bCs/>
        <w:color w:val="000000"/>
        <w:kern w:val="0"/>
        <w:sz w:val="43"/>
        <w:szCs w:val="43"/>
      </w:rPr>
    </w:pPr>
    <w:r>
      <w:rPr>
        <w:rFonts w:ascii="Arial" w:hAnsi="Arial" w:cs="Arial"/>
        <w:b/>
        <w:bCs/>
        <w:color w:val="000000"/>
        <w:kern w:val="0"/>
        <w:sz w:val="43"/>
        <w:szCs w:val="43"/>
      </w:rPr>
      <w:t>NÁVRH ZÁVĚREČNÉHO ÚČTU ZA ROK 2024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8616"/>
      <w:gridCol w:w="1077"/>
    </w:tblGrid>
    <w:tr w:rsidR="00E00FEA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  <w:tc>
        <w:tcPr>
          <w:tcW w:w="8616" w:type="dxa"/>
          <w:tcBorders>
            <w:top w:val="nil"/>
            <w:left w:val="nil"/>
            <w:bottom w:val="nil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(v Kč)</w:t>
          </w: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</w:tr>
    <w:tr w:rsidR="00E00FEA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  <w:p w:rsidR="00E00FEA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V. PENĚŽNÍ FONDY - INFORMATIVNĚ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276"/>
      <w:gridCol w:w="1831"/>
      <w:gridCol w:w="1831"/>
      <w:gridCol w:w="1831"/>
    </w:tblGrid>
    <w:tr w:rsidR="00E00FEA">
      <w:trPr>
        <w:cantSplit/>
      </w:trPr>
      <w:tc>
        <w:tcPr>
          <w:tcW w:w="527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  <w:p w:rsidR="00E00FEA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VI. MAJETEK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69"/>
      <w:gridCol w:w="3338"/>
      <w:gridCol w:w="1831"/>
      <w:gridCol w:w="1831"/>
    </w:tblGrid>
    <w:tr w:rsidR="00E00FEA">
      <w:trPr>
        <w:cantSplit/>
      </w:trPr>
      <w:tc>
        <w:tcPr>
          <w:tcW w:w="376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majetkového účtu</w:t>
          </w:r>
        </w:p>
      </w:tc>
      <w:tc>
        <w:tcPr>
          <w:tcW w:w="333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Počáteční stav k 1.1.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Obrat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Konečný stav</w:t>
          </w:r>
        </w:p>
      </w:tc>
    </w:tr>
  </w:tbl>
  <w:p w:rsidR="00E00FEA" w:rsidRDefault="00E00FEA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  <w:p w:rsidR="00E00FEA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VII. VYÚČTOVÁNÍ FIN. VZTAHŮ K ROZPOČTŮM KRAJŮ, OBCÍ, DSO A VNITŘNÍ PŘEVODY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4630"/>
      <w:gridCol w:w="1831"/>
      <w:gridCol w:w="1831"/>
      <w:gridCol w:w="1831"/>
    </w:tblGrid>
    <w:tr w:rsidR="00E00FEA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Položka</w:t>
          </w:r>
        </w:p>
      </w:tc>
      <w:tc>
        <w:tcPr>
          <w:tcW w:w="463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  <w:p w:rsidR="00E00FEA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VIII. VYÚČTOVÁNÍ FIN. VZTAHŮ KE ST. ROZPOČTU, ST. FONDŮM A NÁRODNÍMU FONDU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3446"/>
      <w:gridCol w:w="1508"/>
      <w:gridCol w:w="1507"/>
      <w:gridCol w:w="1508"/>
      <w:gridCol w:w="1508"/>
    </w:tblGrid>
    <w:tr w:rsidR="00E00FEA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UZ</w:t>
          </w:r>
        </w:p>
      </w:tc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Položka</w:t>
          </w:r>
        </w:p>
      </w:tc>
      <w:tc>
        <w:tcPr>
          <w:tcW w:w="34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. (Příjmy)</w:t>
          </w:r>
        </w:p>
      </w:tc>
      <w:tc>
        <w:tcPr>
          <w:tcW w:w="150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. (Výdaje)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 (Příjmy)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 (Výdaje)</w:t>
          </w:r>
        </w:p>
      </w:tc>
    </w:tr>
    <w:tr w:rsidR="00E00FEA">
      <w:trPr>
        <w:cantSplit/>
      </w:trPr>
      <w:tc>
        <w:tcPr>
          <w:tcW w:w="10769" w:type="dxa"/>
          <w:gridSpan w:val="7"/>
          <w:tcBorders>
            <w:top w:val="single" w:sz="2" w:space="0" w:color="000000"/>
            <w:left w:val="nil"/>
            <w:bottom w:val="nil"/>
            <w:right w:val="nil"/>
          </w:tcBorders>
        </w:tcPr>
        <w:p w:rsidR="00E00FEA" w:rsidRDefault="00E00FE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  <w:tr w:rsidR="00E00FEA">
      <w:trPr>
        <w:cantSplit/>
      </w:trPr>
      <w:tc>
        <w:tcPr>
          <w:tcW w:w="527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:rsidR="00E00FEA" w:rsidRDefault="00E00FEA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FEA" w:rsidRDefault="00E00F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E00FEA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Licence: WJEY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E00FEA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XCRGBZUC / ZN2  (13022025 / 01012025)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2C"/>
    <w:rsid w:val="00043846"/>
    <w:rsid w:val="00125357"/>
    <w:rsid w:val="002D476B"/>
    <w:rsid w:val="00414A25"/>
    <w:rsid w:val="0047202C"/>
    <w:rsid w:val="00D74996"/>
    <w:rsid w:val="00E00FEA"/>
    <w:rsid w:val="00E2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CAEEE7"/>
  <w14:defaultImageDpi w14:val="0"/>
  <w15:docId w15:val="{2AC60BDE-45A0-474E-83DA-EC43D64C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4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76B"/>
  </w:style>
  <w:style w:type="paragraph" w:styleId="Zpat">
    <w:name w:val="footer"/>
    <w:basedOn w:val="Normln"/>
    <w:link w:val="ZpatChar"/>
    <w:uiPriority w:val="99"/>
    <w:unhideWhenUsed/>
    <w:rsid w:val="002D4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94" Type="http://schemas.openxmlformats.org/officeDocument/2006/relationships/header" Target="header4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6" Type="http://schemas.openxmlformats.org/officeDocument/2006/relationships/header" Target="header36.xml"/><Relationship Id="rId97" Type="http://schemas.openxmlformats.org/officeDocument/2006/relationships/footer" Target="footer4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header" Target="header26.xml"/><Relationship Id="rId77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2335</Words>
  <Characters>13778</Characters>
  <Application>Microsoft Office Word</Application>
  <DocSecurity>0</DocSecurity>
  <Lines>114</Lines>
  <Paragraphs>32</Paragraphs>
  <ScaleCrop>false</ScaleCrop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Poulová</dc:creator>
  <cp:keywords/>
  <dc:description/>
  <cp:lastModifiedBy>Věra Poulová</cp:lastModifiedBy>
  <cp:revision>2</cp:revision>
  <dcterms:created xsi:type="dcterms:W3CDTF">2025-05-29T06:04:00Z</dcterms:created>
  <dcterms:modified xsi:type="dcterms:W3CDTF">2025-05-29T06:04:00Z</dcterms:modified>
</cp:coreProperties>
</file>